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C9" w:rsidRPr="000C6821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64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4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64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2017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23256F" w:rsidRDefault="0023256F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56F" w:rsidRPr="0023256F" w:rsidRDefault="0023256F" w:rsidP="0023256F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Чадан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«__»_________2018г.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="00FD02A2"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Контрольно-счетного органа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2018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2017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апреля по 30 апреля 2018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097" w:rsidRP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A61097" w:rsidRPr="00A61097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</w:t>
      </w:r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8B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61097" w:rsidRDefault="00A61097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2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60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бюджет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2017</w:t>
      </w:r>
      <w:r w:rsidR="0023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2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плановый период 2018-2019 годов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зменениями 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4F96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29.12.2017</w:t>
      </w:r>
      <w:r w:rsidR="00FD02A2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21EB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A34F96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1E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бюджет  сельс</w:t>
      </w:r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 поселения </w:t>
      </w:r>
      <w:proofErr w:type="spellStart"/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8B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</w:t>
      </w:r>
      <w:r w:rsidR="00642C60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A3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2018-2019 годов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2" w:rsidRDefault="00524DC9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 ст.26 Положения о бюджетном процессе, утвержденного решением Хурала представителе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исполнении бюджета представляется в Хурал представителей не поздне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1 мая текущего года. </w:t>
      </w:r>
    </w:p>
    <w:p w:rsidR="00524DC9" w:rsidRPr="00A61097" w:rsidRDefault="00524DC9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1097" w:rsidRPr="00A61097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1B48D6" w:rsidRDefault="00A61097" w:rsidP="0030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Бюджетный процес</w:t>
      </w:r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осуществляется согласно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нормативно-правовых актов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1097" w:rsidRPr="00A61097" w:rsidRDefault="00A61097" w:rsidP="0030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Бюджетному Кодексу РФ (далее - БК РФ), Закону РФ № 131-ФЗ «Об общих принципах организации местного самоуправления в Российской Федерации» (далее - Закон № 131 – ФЗ)</w:t>
      </w:r>
      <w:r w:rsidR="00FD02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A6109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Устава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BC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принят</w:t>
      </w:r>
      <w:r w:rsidR="001B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Хурала представителей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Положением о бюджетном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C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иных нормативно-правовых</w:t>
      </w:r>
      <w:proofErr w:type="gram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Российской Федерации, Республики Тыва и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правового регулирования бюджетного процесса.</w:t>
      </w:r>
    </w:p>
    <w:p w:rsidR="00524DC9" w:rsidRDefault="00FD02A2" w:rsidP="00524D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</w:t>
      </w:r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</w:t>
      </w:r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FF0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21.12.2016 г. № 60</w:t>
      </w:r>
      <w:r w:rsidR="00524DC9"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утверждены основные характеристики бюд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на 2017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D02A2" w:rsidRPr="00A61097" w:rsidRDefault="00FD02A2" w:rsidP="00524D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FD02A2" w:rsidRDefault="00524DC9" w:rsidP="00FD02A2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85">
        <w:rPr>
          <w:rFonts w:ascii="Times New Roman" w:eastAsia="Times New Roman" w:hAnsi="Times New Roman" w:cs="Times New Roman"/>
          <w:sz w:val="24"/>
          <w:szCs w:val="24"/>
          <w:lang w:eastAsia="ru-RU"/>
        </w:rPr>
        <w:t>2612,9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24DC9" w:rsidRPr="009236BA" w:rsidRDefault="00524DC9" w:rsidP="00524DC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926D85">
        <w:rPr>
          <w:rFonts w:ascii="Times New Roman" w:eastAsia="Times New Roman" w:hAnsi="Times New Roman" w:cs="Times New Roman"/>
          <w:sz w:val="24"/>
          <w:szCs w:val="24"/>
          <w:lang w:eastAsia="ru-RU"/>
        </w:rPr>
        <w:t>2612,9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24DC9" w:rsidRPr="000C219A" w:rsidRDefault="00524DC9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исполнения бюджета Решениями Хурала представителей сельского поселения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Хондергейский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в плановые показатели 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осились изменения в течение 201</w:t>
      </w:r>
      <w:r w:rsidR="00F2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D0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F2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F22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24DC9" w:rsidRDefault="00524DC9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Решением Хурала представителей сельского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4F96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29.12.2017 г. № 107</w:t>
      </w:r>
      <w:r w:rsidR="00A34F96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</w:t>
      </w:r>
      <w:r w:rsidR="00F22F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7A8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2018-2019 годов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составил: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2A2" w:rsidRPr="00A61097" w:rsidRDefault="00FD02A2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592DBE" w:rsidRDefault="00524DC9" w:rsidP="00524DC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 w:rsid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2691,7</w:t>
      </w: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24DC9" w:rsidRDefault="00524DC9" w:rsidP="00524DC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2712,9</w:t>
      </w:r>
      <w:r w:rsidR="00CB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B7D28" w:rsidRDefault="008863C8" w:rsidP="008863C8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составил 21,2</w:t>
      </w:r>
      <w:r w:rsidR="00CB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863C8" w:rsidRPr="008863C8" w:rsidRDefault="008863C8" w:rsidP="008863C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A61097" w:rsidRDefault="00524DC9" w:rsidP="00524D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BE">
        <w:rPr>
          <w:rFonts w:ascii="Times New Roman" w:eastAsia="Calibri" w:hAnsi="Times New Roman" w:cs="Times New Roman"/>
          <w:sz w:val="24"/>
          <w:szCs w:val="24"/>
        </w:rPr>
        <w:t xml:space="preserve">Показатели фактического исполнения бюджета за </w:t>
      </w:r>
      <w:r w:rsidR="00DC7012">
        <w:rPr>
          <w:rFonts w:ascii="Times New Roman" w:eastAsia="Calibri" w:hAnsi="Times New Roman" w:cs="Times New Roman"/>
          <w:sz w:val="24"/>
          <w:szCs w:val="24"/>
        </w:rPr>
        <w:t>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</w:t>
      </w:r>
      <w:r w:rsidR="00F17E6F">
        <w:rPr>
          <w:rFonts w:ascii="Times New Roman" w:eastAsia="Calibri" w:hAnsi="Times New Roman" w:cs="Times New Roman"/>
          <w:sz w:val="24"/>
          <w:szCs w:val="24"/>
        </w:rPr>
        <w:t>е</w:t>
      </w:r>
      <w:r w:rsidR="00DC7012">
        <w:rPr>
          <w:rFonts w:ascii="Times New Roman" w:eastAsia="Calibri" w:hAnsi="Times New Roman" w:cs="Times New Roman"/>
          <w:sz w:val="24"/>
          <w:szCs w:val="24"/>
        </w:rPr>
        <w:t>та об исполнении бюджета за 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(ф.050</w:t>
      </w:r>
      <w:r w:rsidR="00DC7012">
        <w:rPr>
          <w:rFonts w:ascii="Times New Roman" w:eastAsia="Calibri" w:hAnsi="Times New Roman" w:cs="Times New Roman"/>
          <w:sz w:val="24"/>
          <w:szCs w:val="24"/>
        </w:rPr>
        <w:t>3151) по состоянию на 01.01.2018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24DC9" w:rsidRPr="0039473A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Соглашении определены услов</w:t>
      </w: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предоставления средств из бюджета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A61097" w:rsidRPr="00A61097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</w:t>
      </w:r>
      <w:r w:rsidR="00F1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ркой  исполнения бюджета </w:t>
      </w:r>
      <w:r w:rsidR="00DC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2017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 Админист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уведомлению Администраци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A19B6"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3A19B6"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3A19B6"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1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2253,7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соответствует.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24DC9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</w:t>
      </w:r>
      <w:r w:rsidR="00F1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3 Управления Федерального казначейства по Республике Тыва (далее по тексту Отдел № 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бюджетных операций, обеспечения полного учета и контроля каждого этапа исполнения бюджета через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казначейства,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№ 3 открыт </w:t>
      </w:r>
      <w:r w:rsidRPr="004E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получателя бюджетных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средств.</w:t>
      </w:r>
    </w:p>
    <w:p w:rsidR="00524DC9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DC9" w:rsidRP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D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Проверка исполнения доходной части бюджета</w:t>
      </w:r>
    </w:p>
    <w:p w:rsidR="00524DC9" w:rsidRPr="002C6D95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дная  часть сельского 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за 2017 год на 2721,5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что составляет 101,1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F1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планового показателя 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2 691,7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69492A" w:rsidRPr="00A61097" w:rsidRDefault="0069492A" w:rsidP="00694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следую-</w:t>
      </w:r>
    </w:p>
    <w:p w:rsidR="00D01AEB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таблице: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01AEB" w:rsidRPr="00A61097" w:rsidRDefault="00651DE1" w:rsidP="00651DE1">
      <w:pPr>
        <w:tabs>
          <w:tab w:val="left" w:pos="7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(в рублях)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689"/>
        <w:gridCol w:w="1402"/>
        <w:gridCol w:w="1223"/>
        <w:gridCol w:w="1509"/>
        <w:gridCol w:w="1406"/>
      </w:tblGrid>
      <w:tr w:rsidR="00D01AEB" w:rsidRPr="00D01AEB" w:rsidTr="00EC7027">
        <w:trPr>
          <w:trHeight w:val="9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AEB" w:rsidRPr="00443F7A" w:rsidRDefault="00D01AEB" w:rsidP="00D0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AEB" w:rsidRPr="00443F7A" w:rsidRDefault="00D01AEB" w:rsidP="00D0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AEB" w:rsidRPr="00443F7A" w:rsidRDefault="00D01AEB" w:rsidP="00D0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EB" w:rsidRPr="00443F7A" w:rsidRDefault="00D01AEB" w:rsidP="00D01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EB" w:rsidRPr="00443F7A" w:rsidRDefault="00443F7A" w:rsidP="00443F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443F7A" w:rsidRDefault="00D01AEB" w:rsidP="0044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443F7A" w:rsidRDefault="00443F7A" w:rsidP="0044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443F7A" w:rsidRDefault="00443F7A" w:rsidP="0044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443F7A" w:rsidRDefault="00443F7A" w:rsidP="00443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43F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443F7A" w:rsidRDefault="00443F7A" w:rsidP="00443F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F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бюджета - ВСЕГО: </w:t>
            </w: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1654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2691714,13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1654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2721507,13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-29793,0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467793,0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-14102,77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76826,25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EC7027" w:rsidP="00EC7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EC7027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76826,25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EC7027" w:rsidRPr="00D01AEB" w:rsidTr="00EC7027">
        <w:trPr>
          <w:trHeight w:val="90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76826,25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EC7027" w:rsidRPr="00D01AEB" w:rsidTr="00EC7027">
        <w:trPr>
          <w:trHeight w:val="112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76826,25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D01AEB" w:rsidRPr="00D01AEB" w:rsidTr="00EC7027">
        <w:trPr>
          <w:trHeight w:val="90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112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</w:t>
            </w: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112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13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8638,82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-330,31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EC7027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8638,82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-330,31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EC7027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8638,82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-330,31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8638,82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-330,31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339531,54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-13241,99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185132,83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-6332,59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185132,83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-6332,59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185132,83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-6332,59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  <w:r w:rsidR="00F22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-6909,4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26170,57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-170,57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26170,57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-170,57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26170,57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-170,57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F22FBD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128228,14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EC7027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-6738,83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EC7027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128228,14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-6738,83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EC7027" w:rsidRPr="00D01AEB" w:rsidTr="00EC7027">
        <w:trPr>
          <w:trHeight w:val="67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027" w:rsidRPr="00D01AEB" w:rsidRDefault="00EC7027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128228,14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7027" w:rsidRPr="00D01AEB" w:rsidRDefault="00EC7027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-6738,83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27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D01AEB" w:rsidRPr="00D01AEB" w:rsidTr="00EC7027">
        <w:trPr>
          <w:trHeight w:val="67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D01AE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12547,00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45763B" w:rsidRPr="00D01AEB" w:rsidTr="00EC7027">
        <w:trPr>
          <w:trHeight w:val="90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12547,00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45763B" w:rsidRPr="00D01AEB" w:rsidTr="00EC7027">
        <w:trPr>
          <w:trHeight w:val="90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12547,00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45763B" w:rsidRPr="00D01AEB" w:rsidTr="00EC7027">
        <w:trPr>
          <w:trHeight w:val="90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12547,00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-547,00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01AE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8150,0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-150,0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45763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8150,0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45763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8150,0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45763B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8150,0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01AE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AEB" w:rsidRPr="00D01AEB" w:rsidRDefault="00D01AE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22099,39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AEB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-99,39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E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5763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22099,39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-99,39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5763B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22099,39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-99,39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43F7A" w:rsidRPr="00D01AEB" w:rsidTr="00EC7027">
        <w:trPr>
          <w:trHeight w:val="77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F7A" w:rsidRPr="00D01AEB" w:rsidRDefault="00443F7A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F7A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2253714,13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F7A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2253714,13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F7A" w:rsidRPr="00D01AEB" w:rsidRDefault="0045763B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3F7A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763B" w:rsidRPr="00D01AEB" w:rsidTr="00CC07E8">
        <w:trPr>
          <w:trHeight w:val="184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63B" w:rsidRPr="00D01AEB" w:rsidRDefault="0045763B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2253714,13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2253714,13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3B" w:rsidRPr="00D01AEB" w:rsidRDefault="0045763B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7A" w:rsidRPr="00D01AEB" w:rsidTr="00EC7027">
        <w:trPr>
          <w:trHeight w:val="543"/>
        </w:trPr>
        <w:tc>
          <w:tcPr>
            <w:tcW w:w="3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F7A" w:rsidRPr="00D01AEB" w:rsidRDefault="00443F7A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F7A" w:rsidRPr="00D01AEB" w:rsidRDefault="00443F7A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F7A" w:rsidRPr="00D01AEB" w:rsidRDefault="00443F7A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A" w:rsidRPr="00D01AEB" w:rsidRDefault="00443F7A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7A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2074314,13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2074314,13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1924314,13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1924314,13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45763B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45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7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бюджетам </w:t>
            </w:r>
            <w:r w:rsidRPr="004576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1924314,13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1924314,13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поддержку мер по обеспечению сбалансированности бюджетов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поддержку мер по обеспечению сбалансированности бюджетов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255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78400,0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C07E8" w:rsidRPr="00D01AEB" w:rsidTr="00EC7027">
        <w:trPr>
          <w:trHeight w:val="450"/>
        </w:trPr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7E8" w:rsidRPr="00D01AEB" w:rsidRDefault="00CC07E8" w:rsidP="00D0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1AE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7E8" w:rsidRPr="00D01AEB" w:rsidRDefault="00CC07E8" w:rsidP="008D2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07E8" w:rsidRPr="00D01AEB" w:rsidRDefault="00CC07E8" w:rsidP="0008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7E8" w:rsidRPr="00D01AEB" w:rsidRDefault="00083FB0" w:rsidP="008D2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D25FB" w:rsidRDefault="008D25FB" w:rsidP="008D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9492A" w:rsidRDefault="008D25FB" w:rsidP="008D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годовому 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отчету ф. 0503117 по итогам 2017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составляет 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467,8</w:t>
      </w:r>
      <w:r w:rsidR="008D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блей, или 106,8 % от плана 438,01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 В связи с тем, что  в течение года в бюджет района вн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 изменения четыре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лнения, исполнение п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за 2017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почти по всем показателям 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доходов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около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процентов</w:t>
      </w:r>
      <w:r w:rsidR="0069492A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92A" w:rsidRPr="0063280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69492A" w:rsidRDefault="0069492A" w:rsidP="00694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целом переиспо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плана по средствам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доходов составляет 29,8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Сравнительный ан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собственных доходов за 2017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перевыполнение плановых показателей наблюдается по  налогу на доходы физических лиц – на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от  имущества – 15,1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исполнен план по земельному налогу на 108,7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69492A" w:rsidRDefault="0069492A" w:rsidP="00694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2A" w:rsidRPr="00651DE1" w:rsidRDefault="0069492A" w:rsidP="0069492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69492A" w:rsidRPr="00651DE1" w:rsidRDefault="0069492A" w:rsidP="0069492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69492A" w:rsidRPr="00D61B11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Анализ использования муниципальной собственности показал, что « Положение об учете и ведении реестра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также отсутствуют. </w:t>
      </w: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Реестр муниципального имущества сельского поселения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В нарушение 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51 Федерального закона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РФ» с момента утверждения Реестра муниципального имущества </w:t>
      </w:r>
      <w:r w:rsidRP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настоящее время реестр муниципального имущества не велся и изменения в состав муниципального имущества не вносились.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492A" w:rsidRPr="00A61097" w:rsidRDefault="0069492A" w:rsidP="0069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69492A" w:rsidRPr="00A61097" w:rsidRDefault="0069492A" w:rsidP="0069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доходы в виде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земли, находящиеся в собственности муниципальных 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 поступили в сумме 12,5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 показатели уточнены и согласно бюджету на 201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составляют 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12,0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92A" w:rsidRPr="0069492A" w:rsidRDefault="0069492A" w:rsidP="005F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расходной части бюджета</w:t>
      </w:r>
    </w:p>
    <w:p w:rsidR="0069492A" w:rsidRPr="00A61097" w:rsidRDefault="0069492A" w:rsidP="0069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69492A" w:rsidRDefault="0069492A" w:rsidP="006949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2A" w:rsidRDefault="00851DBA" w:rsidP="00DC70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5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80"/>
        <w:gridCol w:w="1480"/>
        <w:gridCol w:w="1480"/>
      </w:tblGrid>
      <w:tr w:rsidR="0069492A" w:rsidRPr="00FB36CA" w:rsidTr="00D01AEB">
        <w:trPr>
          <w:trHeight w:val="690"/>
        </w:trPr>
        <w:tc>
          <w:tcPr>
            <w:tcW w:w="504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9492A" w:rsidRPr="00FB36CA" w:rsidRDefault="00851DBA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69492A"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роцент исполнения</w:t>
            </w:r>
          </w:p>
        </w:tc>
      </w:tr>
      <w:tr w:rsidR="0069492A" w:rsidRPr="00FB36CA" w:rsidTr="00851DBA">
        <w:trPr>
          <w:trHeight w:val="511"/>
        </w:trPr>
        <w:tc>
          <w:tcPr>
            <w:tcW w:w="504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– всего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2712,9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2666,5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69492A" w:rsidRPr="00FB36CA" w:rsidTr="00851DBA">
        <w:trPr>
          <w:trHeight w:val="53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2210,8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2210,8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41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455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16547" w:rsidRPr="00FB36CA" w:rsidTr="00851DBA">
        <w:trPr>
          <w:trHeight w:val="455"/>
        </w:trPr>
        <w:tc>
          <w:tcPr>
            <w:tcW w:w="5040" w:type="dxa"/>
            <w:shd w:val="clear" w:color="000000" w:fill="CCFFCC"/>
            <w:vAlign w:val="center"/>
          </w:tcPr>
          <w:p w:rsidR="00416547" w:rsidRPr="00FB36CA" w:rsidRDefault="00416547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16547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16547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16547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542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1654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9492A" w:rsidRPr="00505BF3" w:rsidRDefault="0069492A" w:rsidP="0069492A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 в сумме 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2712,9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 исполнение расходов составил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а 2666,5 тыс. рублей, или 98,3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раздела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номика» 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6,2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цента, «</w:t>
      </w:r>
      <w:r w:rsidR="00022BCC" w:rsidRPr="00022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оборона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- 2,9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«Социальная политика» - </w:t>
      </w:r>
      <w:r w:rsidR="00667EE9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общегосударственные расходы </w:t>
      </w:r>
      <w:r w:rsidRPr="00CB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="0066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82,9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суммы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по функциональной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ун-Хемчикского</w:t>
      </w:r>
      <w:proofErr w:type="spellEnd"/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за 2017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плановые показатели расходной час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выпо</w:t>
      </w:r>
      <w:r w:rsidR="0066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лнены, общая сумма невыполненных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расходной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бюджета сост</w:t>
      </w:r>
      <w:r w:rsidR="00667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 29,8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69492A" w:rsidRPr="004D2348" w:rsidRDefault="0069492A" w:rsidP="004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667EE9">
        <w:rPr>
          <w:rFonts w:ascii="Times New Roman" w:eastAsia="Times New Roman" w:hAnsi="Times New Roman" w:cs="Times New Roman"/>
          <w:sz w:val="24"/>
          <w:szCs w:val="24"/>
          <w:lang w:eastAsia="ru-RU"/>
        </w:rPr>
        <w:t>2666,5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F96EC8" w:rsidRDefault="00F96EC8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Pr="00591A54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 расчетов по межбюджетн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отношениям 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бюджетом по состоянию на начало и конец финансового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96EC8" w:rsidRPr="00B429CF" w:rsidRDefault="00F96EC8" w:rsidP="00F96EC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езвозмездных поступлений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кожуунного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в сумме </w:t>
      </w:r>
      <w:r w:rsidR="0066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2253,7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подтверждены уведомлениями Финансового управления  администрации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бюджета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="00DC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C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="00DC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на 2017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02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6EC8" w:rsidRPr="00A61097" w:rsidRDefault="00F96EC8" w:rsidP="00F96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отношениям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бюджетами поселений по состоянию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F96EC8" w:rsidRDefault="00F96EC8" w:rsidP="00F96E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 и оценка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по ним мероприятий</w:t>
      </w:r>
    </w:p>
    <w:p w:rsidR="00B71424" w:rsidRDefault="00F96EC8" w:rsidP="00F96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</w:t>
      </w:r>
      <w:r w:rsidR="005C4A84">
        <w:rPr>
          <w:rFonts w:ascii="Times New Roman" w:hAnsi="Times New Roman" w:cs="Times New Roman"/>
          <w:sz w:val="24"/>
          <w:szCs w:val="24"/>
        </w:rPr>
        <w:t>ва Республики Тыва от 05.06.2014 г. № 259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республиканских целевых программ»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8E230B">
        <w:rPr>
          <w:rFonts w:ascii="Times New Roman" w:hAnsi="Times New Roman" w:cs="Times New Roman"/>
          <w:sz w:val="24"/>
          <w:szCs w:val="24"/>
        </w:rPr>
        <w:t xml:space="preserve"> </w:t>
      </w:r>
      <w:r w:rsidRPr="004D339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4D3397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F96EC8" w:rsidRDefault="00DC7012" w:rsidP="00F96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="00F96EC8">
        <w:rPr>
          <w:rFonts w:ascii="Times New Roman" w:hAnsi="Times New Roman" w:cs="Times New Roman"/>
          <w:sz w:val="24"/>
          <w:szCs w:val="24"/>
        </w:rPr>
        <w:t xml:space="preserve"> году для реализации муниципальных целевых программам предусмотрены в бюджете в сумме </w:t>
      </w:r>
      <w:r>
        <w:rPr>
          <w:rFonts w:ascii="Times New Roman" w:hAnsi="Times New Roman" w:cs="Times New Roman"/>
          <w:sz w:val="24"/>
          <w:szCs w:val="24"/>
        </w:rPr>
        <w:t>42,9</w:t>
      </w:r>
      <w:r w:rsidR="00F96EC8">
        <w:rPr>
          <w:rFonts w:ascii="Times New Roman" w:hAnsi="Times New Roman" w:cs="Times New Roman"/>
          <w:sz w:val="24"/>
          <w:szCs w:val="24"/>
        </w:rPr>
        <w:t xml:space="preserve"> тыс. рублей, в котором реализованы в следующем: </w:t>
      </w:r>
      <w:proofErr w:type="gramEnd"/>
    </w:p>
    <w:p w:rsidR="00F96EC8" w:rsidRDefault="00F96EC8" w:rsidP="00F96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целевой программе «Комплексные меры по профилактике злоупотреблению наркотиками </w:t>
      </w:r>
      <w:r w:rsidR="00416547">
        <w:rPr>
          <w:rFonts w:ascii="Times New Roman" w:hAnsi="Times New Roman" w:cs="Times New Roman"/>
          <w:sz w:val="24"/>
          <w:szCs w:val="24"/>
        </w:rPr>
        <w:t>и их незаконному обороту на 2016-2018</w:t>
      </w:r>
      <w:r>
        <w:rPr>
          <w:rFonts w:ascii="Times New Roman" w:hAnsi="Times New Roman" w:cs="Times New Roman"/>
          <w:sz w:val="24"/>
          <w:szCs w:val="24"/>
        </w:rPr>
        <w:t xml:space="preserve"> годы» фина</w:t>
      </w:r>
      <w:r w:rsidR="00022BCC">
        <w:rPr>
          <w:rFonts w:ascii="Times New Roman" w:hAnsi="Times New Roman" w:cs="Times New Roman"/>
          <w:sz w:val="24"/>
          <w:szCs w:val="24"/>
        </w:rPr>
        <w:t>нс</w:t>
      </w:r>
      <w:r w:rsidR="00416547">
        <w:rPr>
          <w:rFonts w:ascii="Times New Roman" w:hAnsi="Times New Roman" w:cs="Times New Roman"/>
          <w:sz w:val="24"/>
          <w:szCs w:val="24"/>
        </w:rPr>
        <w:t>ирование составило на сумму 15,0</w:t>
      </w:r>
      <w:r w:rsidR="00022BCC">
        <w:rPr>
          <w:rFonts w:ascii="Times New Roman" w:hAnsi="Times New Roman" w:cs="Times New Roman"/>
          <w:sz w:val="24"/>
          <w:szCs w:val="24"/>
        </w:rPr>
        <w:t xml:space="preserve"> тыс. 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02" w:rsidRPr="005D2A02" w:rsidRDefault="00F96EC8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0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r w:rsidR="00416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«Дети  </w:t>
      </w:r>
      <w:proofErr w:type="spellStart"/>
      <w:r w:rsidR="00416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сумона</w:t>
      </w:r>
      <w:proofErr w:type="spellEnd"/>
      <w:r w:rsidR="00416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2016-2018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 финан</w:t>
      </w:r>
      <w:r w:rsidR="00416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сирование составил на сумму 27,9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рублей.</w:t>
      </w:r>
      <w:r w:rsidRPr="000C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02" w:rsidRDefault="002C638C" w:rsidP="002C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82461">
        <w:rPr>
          <w:rFonts w:ascii="Times New Roman" w:hAnsi="Times New Roman" w:cs="Times New Roman"/>
          <w:sz w:val="24"/>
          <w:szCs w:val="24"/>
        </w:rPr>
        <w:t>Не представлена программы</w:t>
      </w:r>
      <w:r w:rsidR="005D2A02" w:rsidRPr="005D2A02">
        <w:rPr>
          <w:rFonts w:ascii="Times New Roman" w:hAnsi="Times New Roman" w:cs="Times New Roman"/>
          <w:sz w:val="24"/>
          <w:szCs w:val="24"/>
        </w:rPr>
        <w:t xml:space="preserve"> в КСО </w:t>
      </w:r>
      <w:proofErr w:type="spellStart"/>
      <w:r w:rsidR="005D2A02" w:rsidRPr="005D2A0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5D2A02" w:rsidRPr="005D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02" w:rsidRPr="005D2A0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D2A02" w:rsidRPr="005D2A02">
        <w:rPr>
          <w:rFonts w:ascii="Times New Roman" w:hAnsi="Times New Roman" w:cs="Times New Roman"/>
          <w:sz w:val="24"/>
          <w:szCs w:val="24"/>
        </w:rPr>
        <w:t xml:space="preserve"> в списке представленных документов для проведения внешней проверки годового отчета об исполнении бюджета поселения (нарушение п. 2 ст. 264.4.</w:t>
      </w:r>
      <w:proofErr w:type="gramEnd"/>
      <w:r w:rsidR="005D2A02" w:rsidRPr="005D2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A02" w:rsidRPr="005D2A02">
        <w:rPr>
          <w:rFonts w:ascii="Times New Roman" w:hAnsi="Times New Roman" w:cs="Times New Roman"/>
          <w:sz w:val="24"/>
          <w:szCs w:val="24"/>
        </w:rPr>
        <w:t>БК РФ).</w:t>
      </w:r>
      <w:proofErr w:type="gramEnd"/>
    </w:p>
    <w:p w:rsidR="00F82461" w:rsidRPr="00F82461" w:rsidRDefault="002C638C" w:rsidP="00F824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представлены программы Контрольно-счетному органу </w:t>
      </w:r>
      <w:proofErr w:type="spell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2461"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БК РФ).</w:t>
      </w:r>
      <w:proofErr w:type="gramEnd"/>
    </w:p>
    <w:p w:rsidR="005D2A02" w:rsidRPr="00F82461" w:rsidRDefault="00F82461" w:rsidP="00F824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24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 xml:space="preserve">Муниципальная программа «Дети </w:t>
      </w:r>
      <w:proofErr w:type="spellStart"/>
      <w:r w:rsidRPr="005D2A0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5D2A02">
        <w:rPr>
          <w:rFonts w:ascii="Times New Roman" w:hAnsi="Times New Roman" w:cs="Times New Roman"/>
          <w:sz w:val="24"/>
          <w:szCs w:val="24"/>
        </w:rPr>
        <w:t xml:space="preserve"> на 2017-2019 годы»</w:t>
      </w:r>
    </w:p>
    <w:p w:rsidR="005D2A02" w:rsidRPr="005D2A02" w:rsidRDefault="00F82461" w:rsidP="00F8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2A02" w:rsidRPr="005D2A02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>Задачи: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>- профилактика социального неблагополучия семей с детьми: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 xml:space="preserve">- защита прав и интересов детей.     </w:t>
      </w:r>
    </w:p>
    <w:p w:rsidR="005D2A02" w:rsidRP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lastRenderedPageBreak/>
        <w:t xml:space="preserve"> Решение поставленных задач в 2017-2019 годах планировалась осуществить путем реализации 13-х мероприятий. К программе приложены  перечень мероприятий муниципальной программы «Дети города» со следующими основными мероприятиями с плановым объёмом финансирования на 2017 год в 10,0 тыс. руб.</w:t>
      </w:r>
    </w:p>
    <w:p w:rsidR="005D2A02" w:rsidRDefault="005D2A02" w:rsidP="005D2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A02">
        <w:rPr>
          <w:rFonts w:ascii="Times New Roman" w:hAnsi="Times New Roman" w:cs="Times New Roman"/>
          <w:sz w:val="24"/>
          <w:szCs w:val="24"/>
        </w:rPr>
        <w:t xml:space="preserve"> Фактически </w:t>
      </w:r>
      <w:proofErr w:type="gramStart"/>
      <w:r w:rsidRPr="005D2A02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5D2A02">
        <w:rPr>
          <w:rFonts w:ascii="Times New Roman" w:hAnsi="Times New Roman" w:cs="Times New Roman"/>
          <w:sz w:val="24"/>
          <w:szCs w:val="24"/>
        </w:rPr>
        <w:t xml:space="preserve">  об исполнении бюджета ф. № 0503117 за 2017 год профинансировано 10,0 тыс. рублей, или исполнено на 100 %.</w:t>
      </w:r>
    </w:p>
    <w:p w:rsidR="00F96EC8" w:rsidRDefault="00F96EC8" w:rsidP="00F96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F96EC8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F96EC8" w:rsidRPr="00DC5275" w:rsidRDefault="00F96EC8" w:rsidP="00F96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наличия дебиторской и кредиторской задолжен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 состоянию на 01.01.201</w:t>
      </w:r>
      <w:r w:rsidR="00416547">
        <w:rPr>
          <w:rFonts w:ascii="Times New Roman" w:eastAsia="Times New Roman" w:hAnsi="Times New Roman" w:cs="Times New Roman"/>
          <w:sz w:val="24"/>
          <w:szCs w:val="24"/>
          <w:lang w:eastAsia="ru-RU"/>
        </w:rPr>
        <w:t>7 г. и на 01.01.2018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0503369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задолженность в следующих размерах:</w:t>
      </w:r>
    </w:p>
    <w:p w:rsidR="00F96EC8" w:rsidRPr="00CC7204" w:rsidRDefault="00F96EC8" w:rsidP="00022BCC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0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275"/>
        <w:gridCol w:w="2140"/>
        <w:gridCol w:w="1354"/>
        <w:gridCol w:w="1354"/>
        <w:gridCol w:w="1354"/>
      </w:tblGrid>
      <w:tr w:rsidR="00F96EC8" w:rsidRPr="00CC7204" w:rsidTr="00D01AEB">
        <w:trPr>
          <w:trHeight w:val="25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 Кредиторы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</w:t>
            </w:r>
            <w:r w:rsidR="00F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EC8"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01.01.2018</w:t>
            </w:r>
            <w:r w:rsidR="00F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EC8"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9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6EC8" w:rsidRPr="00CC7204" w:rsidTr="00D01AEB">
        <w:trPr>
          <w:trHeight w:val="255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C8" w:rsidRPr="00CC7204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CC7204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F96EC8" w:rsidRPr="00CC7204" w:rsidTr="00022BCC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CC7204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13620,24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26448,82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34755,91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CC7204" w:rsidRDefault="00416547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15726,1</w:t>
            </w:r>
          </w:p>
        </w:tc>
      </w:tr>
    </w:tbl>
    <w:p w:rsidR="00F96EC8" w:rsidRDefault="00F96EC8" w:rsidP="00F96E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F96EC8" w:rsidRPr="00A61097" w:rsidRDefault="00F96EC8" w:rsidP="00F96EC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A34F96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29.12.2017 г. № 107</w:t>
      </w:r>
      <w:r w:rsidR="00A34F96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внесении изменений и дополнений 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201</w:t>
      </w:r>
      <w:r w:rsidR="004165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на 201</w:t>
      </w:r>
      <w:r w:rsidR="00416547"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3256F"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FB"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="002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кредита - </w:t>
      </w:r>
      <w:r w:rsidR="00243278" w:rsidRP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3256F" w:rsidRP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3278" w:rsidRPr="008863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256F"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F96EC8" w:rsidRPr="00A61097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с превышением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 w:rsidR="002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над расходами в размере 55,0</w:t>
      </w:r>
      <w:r w:rsidR="0041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(доходы – 2721,5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416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расходы в размере 2666,5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F96EC8" w:rsidRPr="00A61097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воды:</w:t>
      </w:r>
    </w:p>
    <w:p w:rsidR="00D04E0F" w:rsidRPr="00D04E0F" w:rsidRDefault="00D04E0F" w:rsidP="00D04E0F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 3 ст. 264.4. БК РФ администрация представила годовой отчет об исполнении бюджета для подготовки заключения КСО </w:t>
      </w:r>
      <w:proofErr w:type="spellStart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</w:t>
      </w:r>
      <w:proofErr w:type="spellEnd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срока, предусмотренного бюджетным законодательством - 1 апреля текущего года.  </w:t>
      </w:r>
    </w:p>
    <w:p w:rsidR="002C638C" w:rsidRPr="002C638C" w:rsidRDefault="002C638C" w:rsidP="002C638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Не представлена программы в КСО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в списке представленных документов для проведения внешней проверки годового отчета об исполнении бюджета поселения (нарушение п. 2 ст. 264.4.</w:t>
      </w:r>
      <w:proofErr w:type="gram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C638C">
        <w:rPr>
          <w:rFonts w:ascii="Times New Roman" w:eastAsia="Calibri" w:hAnsi="Times New Roman" w:cs="Times New Roman"/>
          <w:sz w:val="24"/>
          <w:szCs w:val="24"/>
        </w:rPr>
        <w:t>БК РФ).</w:t>
      </w:r>
      <w:proofErr w:type="gramEnd"/>
    </w:p>
    <w:p w:rsidR="002C638C" w:rsidRPr="002C638C" w:rsidRDefault="002C638C" w:rsidP="002C638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38C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2C638C">
        <w:rPr>
          <w:rFonts w:ascii="Times New Roman" w:eastAsia="Calibri" w:hAnsi="Times New Roman" w:cs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2C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C638C">
        <w:rPr>
          <w:rFonts w:ascii="Times New Roman" w:eastAsia="Calibri" w:hAnsi="Times New Roman" w:cs="Times New Roman"/>
          <w:sz w:val="24"/>
          <w:szCs w:val="24"/>
        </w:rPr>
        <w:t>БК РФ).</w:t>
      </w:r>
      <w:proofErr w:type="gramEnd"/>
    </w:p>
    <w:p w:rsidR="00F96EC8" w:rsidRPr="000C6821" w:rsidRDefault="002C638C" w:rsidP="002C638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8C">
        <w:rPr>
          <w:rFonts w:ascii="Times New Roman" w:eastAsia="Calibri" w:hAnsi="Times New Roman" w:cs="Times New Roman"/>
          <w:sz w:val="24"/>
          <w:szCs w:val="24"/>
        </w:rPr>
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</w:r>
    </w:p>
    <w:p w:rsidR="00F96EC8" w:rsidRPr="000C6821" w:rsidRDefault="00F96EC8" w:rsidP="00F96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 проверкой использования бюджетных средств, выделенных на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программных мероприятий в </w:t>
      </w:r>
      <w:r w:rsidR="0041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установлено:</w:t>
      </w:r>
    </w:p>
    <w:p w:rsidR="00F96EC8" w:rsidRPr="000C6821" w:rsidRDefault="00F96EC8" w:rsidP="00F96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нарушение ст.9 Федерального закона</w:t>
      </w:r>
      <w:r w:rsidR="005C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402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</w:t>
      </w:r>
      <w:r w:rsidR="005A0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бухгалтерском учете»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необоснованное расходование бю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джетных средств на сумму – </w:t>
      </w:r>
      <w:r w:rsidR="0041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(утвержденные муниципальные целевые программы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представлены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Реестр муниципального имущества на проверку не представлен.</w:t>
      </w:r>
    </w:p>
    <w:p w:rsidR="002C638C" w:rsidRPr="000C6821" w:rsidRDefault="002C638C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EC8" w:rsidRPr="000C6821" w:rsidRDefault="00F96EC8" w:rsidP="00F96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результате проведения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</w:t>
      </w:r>
      <w:r w:rsidR="00B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рки бюджетной отчетности за </w:t>
      </w:r>
      <w:r w:rsidR="0041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овлено нарушений на сумму </w:t>
      </w:r>
      <w:r w:rsidR="0041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42,9</w:t>
      </w:r>
      <w:r w:rsidRPr="009B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F96EC8" w:rsidRPr="000C6821" w:rsidRDefault="00F96EC8" w:rsidP="00F96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EC8" w:rsidRPr="000C6821" w:rsidRDefault="00F96EC8" w:rsidP="00F96E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F96EC8" w:rsidRPr="000C6821" w:rsidRDefault="00F96EC8" w:rsidP="00F96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информационное письмо в Хурал представителей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проверке направить в Хурал представителей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2C638C" w:rsidRPr="000C6821" w:rsidRDefault="002C638C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3C8" w:rsidRPr="000C6821" w:rsidRDefault="008863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92A" w:rsidRPr="007C4BF9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B" w:rsidRDefault="00BF04FB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84F53" w:rsidRDefault="003B2DA4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</w:t>
      </w:r>
      <w:r w:rsidR="007731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</w:t>
      </w:r>
    </w:p>
    <w:p w:rsidR="0030643F" w:rsidRDefault="003B2DA4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чикского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4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p w:rsidR="00556CF5" w:rsidRPr="00556CF5" w:rsidRDefault="00556CF5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F5" w:rsidRDefault="00556CF5" w:rsidP="0055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F5" w:rsidRPr="00556CF5" w:rsidRDefault="00556CF5" w:rsidP="0055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6CF5" w:rsidRPr="00556CF5" w:rsidSect="00A610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BB" w:rsidRDefault="003160BB" w:rsidP="008D4C95">
      <w:pPr>
        <w:spacing w:after="0" w:line="240" w:lineRule="auto"/>
      </w:pPr>
      <w:r>
        <w:separator/>
      </w:r>
    </w:p>
    <w:p w:rsidR="003160BB" w:rsidRDefault="003160BB"/>
  </w:endnote>
  <w:endnote w:type="continuationSeparator" w:id="0">
    <w:p w:rsidR="003160BB" w:rsidRDefault="003160BB" w:rsidP="008D4C95">
      <w:pPr>
        <w:spacing w:after="0" w:line="240" w:lineRule="auto"/>
      </w:pPr>
      <w:r>
        <w:continuationSeparator/>
      </w:r>
    </w:p>
    <w:p w:rsidR="003160BB" w:rsidRDefault="00316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17477"/>
      <w:docPartObj>
        <w:docPartGallery w:val="Page Numbers (Bottom of Page)"/>
        <w:docPartUnique/>
      </w:docPartObj>
    </w:sdtPr>
    <w:sdtContent>
      <w:p w:rsidR="008863C8" w:rsidRDefault="008863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3C8" w:rsidRDefault="008863C8">
    <w:pPr>
      <w:pStyle w:val="a7"/>
    </w:pPr>
  </w:p>
  <w:p w:rsidR="008863C8" w:rsidRDefault="008863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BB" w:rsidRDefault="003160BB" w:rsidP="008D4C95">
      <w:pPr>
        <w:spacing w:after="0" w:line="240" w:lineRule="auto"/>
      </w:pPr>
      <w:r>
        <w:separator/>
      </w:r>
    </w:p>
    <w:p w:rsidR="003160BB" w:rsidRDefault="003160BB"/>
  </w:footnote>
  <w:footnote w:type="continuationSeparator" w:id="0">
    <w:p w:rsidR="003160BB" w:rsidRDefault="003160BB" w:rsidP="008D4C95">
      <w:pPr>
        <w:spacing w:after="0" w:line="240" w:lineRule="auto"/>
      </w:pPr>
      <w:r>
        <w:continuationSeparator/>
      </w:r>
    </w:p>
    <w:p w:rsidR="003160BB" w:rsidRDefault="00316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5"/>
  </w:num>
  <w:num w:numId="3">
    <w:abstractNumId w:val="21"/>
  </w:num>
  <w:num w:numId="4">
    <w:abstractNumId w:val="18"/>
  </w:num>
  <w:num w:numId="5">
    <w:abstractNumId w:val="13"/>
  </w:num>
  <w:num w:numId="6">
    <w:abstractNumId w:val="11"/>
  </w:num>
  <w:num w:numId="7">
    <w:abstractNumId w:val="34"/>
  </w:num>
  <w:num w:numId="8">
    <w:abstractNumId w:val="17"/>
  </w:num>
  <w:num w:numId="9">
    <w:abstractNumId w:val="4"/>
  </w:num>
  <w:num w:numId="10">
    <w:abstractNumId w:val="7"/>
  </w:num>
  <w:num w:numId="11">
    <w:abstractNumId w:val="37"/>
  </w:num>
  <w:num w:numId="12">
    <w:abstractNumId w:val="41"/>
  </w:num>
  <w:num w:numId="13">
    <w:abstractNumId w:val="33"/>
  </w:num>
  <w:num w:numId="14">
    <w:abstractNumId w:val="23"/>
  </w:num>
  <w:num w:numId="15">
    <w:abstractNumId w:val="14"/>
  </w:num>
  <w:num w:numId="16">
    <w:abstractNumId w:val="27"/>
  </w:num>
  <w:num w:numId="17">
    <w:abstractNumId w:val="3"/>
  </w:num>
  <w:num w:numId="18">
    <w:abstractNumId w:val="2"/>
  </w:num>
  <w:num w:numId="19">
    <w:abstractNumId w:val="25"/>
  </w:num>
  <w:num w:numId="20">
    <w:abstractNumId w:val="31"/>
  </w:num>
  <w:num w:numId="21">
    <w:abstractNumId w:val="24"/>
  </w:num>
  <w:num w:numId="22">
    <w:abstractNumId w:val="40"/>
  </w:num>
  <w:num w:numId="23">
    <w:abstractNumId w:val="32"/>
  </w:num>
  <w:num w:numId="24">
    <w:abstractNumId w:val="16"/>
  </w:num>
  <w:num w:numId="25">
    <w:abstractNumId w:val="12"/>
  </w:num>
  <w:num w:numId="26">
    <w:abstractNumId w:val="15"/>
  </w:num>
  <w:num w:numId="27">
    <w:abstractNumId w:val="0"/>
  </w:num>
  <w:num w:numId="28">
    <w:abstractNumId w:val="1"/>
  </w:num>
  <w:num w:numId="29">
    <w:abstractNumId w:val="29"/>
  </w:num>
  <w:num w:numId="30">
    <w:abstractNumId w:val="42"/>
  </w:num>
  <w:num w:numId="31">
    <w:abstractNumId w:val="8"/>
  </w:num>
  <w:num w:numId="32">
    <w:abstractNumId w:val="30"/>
  </w:num>
  <w:num w:numId="33">
    <w:abstractNumId w:val="6"/>
  </w:num>
  <w:num w:numId="34">
    <w:abstractNumId w:val="26"/>
  </w:num>
  <w:num w:numId="35">
    <w:abstractNumId w:val="28"/>
  </w:num>
  <w:num w:numId="36">
    <w:abstractNumId w:val="22"/>
  </w:num>
  <w:num w:numId="37">
    <w:abstractNumId w:val="9"/>
  </w:num>
  <w:num w:numId="38">
    <w:abstractNumId w:val="10"/>
  </w:num>
  <w:num w:numId="39">
    <w:abstractNumId w:val="36"/>
  </w:num>
  <w:num w:numId="40">
    <w:abstractNumId w:val="38"/>
  </w:num>
  <w:num w:numId="41">
    <w:abstractNumId w:val="20"/>
  </w:num>
  <w:num w:numId="42">
    <w:abstractNumId w:val="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B5"/>
    <w:rsid w:val="00016636"/>
    <w:rsid w:val="00022BCC"/>
    <w:rsid w:val="00062592"/>
    <w:rsid w:val="00064D3E"/>
    <w:rsid w:val="00065655"/>
    <w:rsid w:val="00066D94"/>
    <w:rsid w:val="00083FB0"/>
    <w:rsid w:val="000921EB"/>
    <w:rsid w:val="0009302E"/>
    <w:rsid w:val="000933BC"/>
    <w:rsid w:val="000964F5"/>
    <w:rsid w:val="000B4A8A"/>
    <w:rsid w:val="000B7721"/>
    <w:rsid w:val="000C219A"/>
    <w:rsid w:val="000D5CAA"/>
    <w:rsid w:val="000E0DB0"/>
    <w:rsid w:val="000E7406"/>
    <w:rsid w:val="000F4F17"/>
    <w:rsid w:val="00104E90"/>
    <w:rsid w:val="001077B5"/>
    <w:rsid w:val="001513BC"/>
    <w:rsid w:val="0016738E"/>
    <w:rsid w:val="001805BF"/>
    <w:rsid w:val="001806ED"/>
    <w:rsid w:val="00183144"/>
    <w:rsid w:val="00187AF5"/>
    <w:rsid w:val="001A644E"/>
    <w:rsid w:val="001B48D6"/>
    <w:rsid w:val="001C270D"/>
    <w:rsid w:val="001E0EFA"/>
    <w:rsid w:val="001E1E07"/>
    <w:rsid w:val="001F4DEF"/>
    <w:rsid w:val="0020354D"/>
    <w:rsid w:val="00203714"/>
    <w:rsid w:val="00211B5C"/>
    <w:rsid w:val="00231203"/>
    <w:rsid w:val="0023256F"/>
    <w:rsid w:val="002346AD"/>
    <w:rsid w:val="002348C1"/>
    <w:rsid w:val="002355BE"/>
    <w:rsid w:val="00243278"/>
    <w:rsid w:val="00252B0C"/>
    <w:rsid w:val="002557E4"/>
    <w:rsid w:val="002662DA"/>
    <w:rsid w:val="00293454"/>
    <w:rsid w:val="002971F4"/>
    <w:rsid w:val="002B2077"/>
    <w:rsid w:val="002C638C"/>
    <w:rsid w:val="002C6897"/>
    <w:rsid w:val="002C6D95"/>
    <w:rsid w:val="002E1075"/>
    <w:rsid w:val="0030643F"/>
    <w:rsid w:val="003160BB"/>
    <w:rsid w:val="0032589F"/>
    <w:rsid w:val="00336D9B"/>
    <w:rsid w:val="003424D2"/>
    <w:rsid w:val="00346408"/>
    <w:rsid w:val="0035129F"/>
    <w:rsid w:val="00354D7E"/>
    <w:rsid w:val="003612C5"/>
    <w:rsid w:val="00363D1C"/>
    <w:rsid w:val="003936B3"/>
    <w:rsid w:val="0039473A"/>
    <w:rsid w:val="003A19B6"/>
    <w:rsid w:val="003B2DA4"/>
    <w:rsid w:val="003C1BDF"/>
    <w:rsid w:val="003C3738"/>
    <w:rsid w:val="003D5C12"/>
    <w:rsid w:val="003E16AB"/>
    <w:rsid w:val="003E3CAB"/>
    <w:rsid w:val="003F086B"/>
    <w:rsid w:val="003F643E"/>
    <w:rsid w:val="00416547"/>
    <w:rsid w:val="00425660"/>
    <w:rsid w:val="00436CAA"/>
    <w:rsid w:val="00441012"/>
    <w:rsid w:val="00443F7A"/>
    <w:rsid w:val="00445944"/>
    <w:rsid w:val="00451F89"/>
    <w:rsid w:val="0045763B"/>
    <w:rsid w:val="004703F9"/>
    <w:rsid w:val="00471AA2"/>
    <w:rsid w:val="00475C95"/>
    <w:rsid w:val="00484F53"/>
    <w:rsid w:val="0048715F"/>
    <w:rsid w:val="00490465"/>
    <w:rsid w:val="004D2348"/>
    <w:rsid w:val="004E0E63"/>
    <w:rsid w:val="004F2F3B"/>
    <w:rsid w:val="004F4977"/>
    <w:rsid w:val="00503A99"/>
    <w:rsid w:val="00505BF3"/>
    <w:rsid w:val="005141C1"/>
    <w:rsid w:val="00524DC9"/>
    <w:rsid w:val="005405BD"/>
    <w:rsid w:val="00543993"/>
    <w:rsid w:val="00550428"/>
    <w:rsid w:val="005559EC"/>
    <w:rsid w:val="00556CF5"/>
    <w:rsid w:val="00590082"/>
    <w:rsid w:val="00591A54"/>
    <w:rsid w:val="00592DBE"/>
    <w:rsid w:val="00593BD1"/>
    <w:rsid w:val="005A06FF"/>
    <w:rsid w:val="005C07A8"/>
    <w:rsid w:val="005C0B8C"/>
    <w:rsid w:val="005C4A84"/>
    <w:rsid w:val="005D00DA"/>
    <w:rsid w:val="005D2A02"/>
    <w:rsid w:val="005D3F57"/>
    <w:rsid w:val="005F21A0"/>
    <w:rsid w:val="006275C3"/>
    <w:rsid w:val="0063280F"/>
    <w:rsid w:val="0063532E"/>
    <w:rsid w:val="00640763"/>
    <w:rsid w:val="00640D50"/>
    <w:rsid w:val="00640EE8"/>
    <w:rsid w:val="00642C60"/>
    <w:rsid w:val="00651DE1"/>
    <w:rsid w:val="00655EB5"/>
    <w:rsid w:val="006568E8"/>
    <w:rsid w:val="00667E55"/>
    <w:rsid w:val="00667EE9"/>
    <w:rsid w:val="006738EE"/>
    <w:rsid w:val="0069492A"/>
    <w:rsid w:val="006A0B96"/>
    <w:rsid w:val="006B7203"/>
    <w:rsid w:val="006D1E41"/>
    <w:rsid w:val="006D2CD7"/>
    <w:rsid w:val="006F01E1"/>
    <w:rsid w:val="00706FB0"/>
    <w:rsid w:val="00711B3E"/>
    <w:rsid w:val="007422E5"/>
    <w:rsid w:val="00753DD1"/>
    <w:rsid w:val="0077076E"/>
    <w:rsid w:val="00773144"/>
    <w:rsid w:val="00774F6D"/>
    <w:rsid w:val="0078226E"/>
    <w:rsid w:val="00782974"/>
    <w:rsid w:val="00784F79"/>
    <w:rsid w:val="0079170B"/>
    <w:rsid w:val="00796D8D"/>
    <w:rsid w:val="007B2CCC"/>
    <w:rsid w:val="007C227E"/>
    <w:rsid w:val="007C3829"/>
    <w:rsid w:val="007C4BF9"/>
    <w:rsid w:val="007D6EA9"/>
    <w:rsid w:val="007D74AC"/>
    <w:rsid w:val="007E7F79"/>
    <w:rsid w:val="007F332F"/>
    <w:rsid w:val="00813E29"/>
    <w:rsid w:val="00817DE3"/>
    <w:rsid w:val="00821020"/>
    <w:rsid w:val="00846BD6"/>
    <w:rsid w:val="00851DBA"/>
    <w:rsid w:val="0085339C"/>
    <w:rsid w:val="00854D8F"/>
    <w:rsid w:val="00876B4A"/>
    <w:rsid w:val="00882F81"/>
    <w:rsid w:val="008863C8"/>
    <w:rsid w:val="00890954"/>
    <w:rsid w:val="008B0881"/>
    <w:rsid w:val="008B62BC"/>
    <w:rsid w:val="008B7A56"/>
    <w:rsid w:val="008D25FB"/>
    <w:rsid w:val="008D4AC8"/>
    <w:rsid w:val="008D4C95"/>
    <w:rsid w:val="008D78A0"/>
    <w:rsid w:val="008E0281"/>
    <w:rsid w:val="008F2B34"/>
    <w:rsid w:val="008F3708"/>
    <w:rsid w:val="008F39C8"/>
    <w:rsid w:val="008F40A8"/>
    <w:rsid w:val="00907624"/>
    <w:rsid w:val="00912673"/>
    <w:rsid w:val="009236BA"/>
    <w:rsid w:val="00926D85"/>
    <w:rsid w:val="0093537F"/>
    <w:rsid w:val="00945022"/>
    <w:rsid w:val="00955510"/>
    <w:rsid w:val="00956481"/>
    <w:rsid w:val="00961E46"/>
    <w:rsid w:val="009748A8"/>
    <w:rsid w:val="009766C0"/>
    <w:rsid w:val="00980458"/>
    <w:rsid w:val="00991EC1"/>
    <w:rsid w:val="009B0DA0"/>
    <w:rsid w:val="009B2237"/>
    <w:rsid w:val="00A114D2"/>
    <w:rsid w:val="00A323BC"/>
    <w:rsid w:val="00A34F96"/>
    <w:rsid w:val="00A350B4"/>
    <w:rsid w:val="00A37FA8"/>
    <w:rsid w:val="00A54EC5"/>
    <w:rsid w:val="00A578FB"/>
    <w:rsid w:val="00A61097"/>
    <w:rsid w:val="00A61E24"/>
    <w:rsid w:val="00AB409B"/>
    <w:rsid w:val="00AC2C33"/>
    <w:rsid w:val="00AC3354"/>
    <w:rsid w:val="00AC6916"/>
    <w:rsid w:val="00AD2015"/>
    <w:rsid w:val="00B059FA"/>
    <w:rsid w:val="00B23127"/>
    <w:rsid w:val="00B32E80"/>
    <w:rsid w:val="00B345CD"/>
    <w:rsid w:val="00B429CF"/>
    <w:rsid w:val="00B521CA"/>
    <w:rsid w:val="00B7029A"/>
    <w:rsid w:val="00B71424"/>
    <w:rsid w:val="00B72432"/>
    <w:rsid w:val="00B77CAE"/>
    <w:rsid w:val="00B81091"/>
    <w:rsid w:val="00B8431C"/>
    <w:rsid w:val="00B91999"/>
    <w:rsid w:val="00BA5D6A"/>
    <w:rsid w:val="00BB2DE2"/>
    <w:rsid w:val="00BC00A3"/>
    <w:rsid w:val="00BC4115"/>
    <w:rsid w:val="00BD5FCF"/>
    <w:rsid w:val="00BD6427"/>
    <w:rsid w:val="00BD718A"/>
    <w:rsid w:val="00BE2443"/>
    <w:rsid w:val="00BF04FB"/>
    <w:rsid w:val="00C06898"/>
    <w:rsid w:val="00C171B6"/>
    <w:rsid w:val="00C26513"/>
    <w:rsid w:val="00C35628"/>
    <w:rsid w:val="00C460AF"/>
    <w:rsid w:val="00C71269"/>
    <w:rsid w:val="00CB37A6"/>
    <w:rsid w:val="00CB5E5E"/>
    <w:rsid w:val="00CB7D28"/>
    <w:rsid w:val="00CC07E8"/>
    <w:rsid w:val="00CC7204"/>
    <w:rsid w:val="00CD0AE9"/>
    <w:rsid w:val="00CD48BC"/>
    <w:rsid w:val="00CF2E4C"/>
    <w:rsid w:val="00D01AEB"/>
    <w:rsid w:val="00D035C8"/>
    <w:rsid w:val="00D04E0F"/>
    <w:rsid w:val="00D06494"/>
    <w:rsid w:val="00D21445"/>
    <w:rsid w:val="00D35010"/>
    <w:rsid w:val="00D463F5"/>
    <w:rsid w:val="00D54E2B"/>
    <w:rsid w:val="00D567EC"/>
    <w:rsid w:val="00D61B11"/>
    <w:rsid w:val="00D879DA"/>
    <w:rsid w:val="00DA50C5"/>
    <w:rsid w:val="00DB0A65"/>
    <w:rsid w:val="00DB6E2B"/>
    <w:rsid w:val="00DC290D"/>
    <w:rsid w:val="00DC4BCE"/>
    <w:rsid w:val="00DC5275"/>
    <w:rsid w:val="00DC7012"/>
    <w:rsid w:val="00DD6EDE"/>
    <w:rsid w:val="00DE630F"/>
    <w:rsid w:val="00DE6C1A"/>
    <w:rsid w:val="00E0639F"/>
    <w:rsid w:val="00E17AF5"/>
    <w:rsid w:val="00E2074D"/>
    <w:rsid w:val="00E246CF"/>
    <w:rsid w:val="00E31DA7"/>
    <w:rsid w:val="00E36AA6"/>
    <w:rsid w:val="00E37711"/>
    <w:rsid w:val="00E41A69"/>
    <w:rsid w:val="00E63265"/>
    <w:rsid w:val="00E77B82"/>
    <w:rsid w:val="00E963BA"/>
    <w:rsid w:val="00EB5C3E"/>
    <w:rsid w:val="00EC7027"/>
    <w:rsid w:val="00EE7051"/>
    <w:rsid w:val="00F0714C"/>
    <w:rsid w:val="00F17E6F"/>
    <w:rsid w:val="00F2155A"/>
    <w:rsid w:val="00F22FBD"/>
    <w:rsid w:val="00F30409"/>
    <w:rsid w:val="00F35120"/>
    <w:rsid w:val="00F44B6E"/>
    <w:rsid w:val="00F45F09"/>
    <w:rsid w:val="00F54136"/>
    <w:rsid w:val="00F55D23"/>
    <w:rsid w:val="00F6281E"/>
    <w:rsid w:val="00F7448A"/>
    <w:rsid w:val="00F82461"/>
    <w:rsid w:val="00F96E2A"/>
    <w:rsid w:val="00F96EC8"/>
    <w:rsid w:val="00FA7926"/>
    <w:rsid w:val="00FB2E02"/>
    <w:rsid w:val="00FB36CA"/>
    <w:rsid w:val="00FC05B5"/>
    <w:rsid w:val="00FC7539"/>
    <w:rsid w:val="00FD02A2"/>
    <w:rsid w:val="00FD6B36"/>
    <w:rsid w:val="00FE6899"/>
    <w:rsid w:val="00FF0A4A"/>
    <w:rsid w:val="00FF592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96"/>
  </w:style>
  <w:style w:type="paragraph" w:styleId="1">
    <w:name w:val="heading 1"/>
    <w:basedOn w:val="a"/>
    <w:next w:val="a"/>
    <w:link w:val="10"/>
    <w:qFormat/>
    <w:rsid w:val="00A610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097"/>
  </w:style>
  <w:style w:type="paragraph" w:styleId="a3">
    <w:name w:val="Body Text"/>
    <w:basedOn w:val="a"/>
    <w:link w:val="a4"/>
    <w:rsid w:val="00A6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610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A61097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A61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610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6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097"/>
  </w:style>
  <w:style w:type="paragraph" w:customStyle="1" w:styleId="ConsPlusNormal">
    <w:name w:val="ConsPlusNormal"/>
    <w:rsid w:val="00A6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61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610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6109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6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A6109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ЭЭГ"/>
    <w:basedOn w:val="a"/>
    <w:rsid w:val="00A610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109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610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A6109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784F7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84F79"/>
    <w:rPr>
      <w:color w:val="800080"/>
      <w:u w:val="single"/>
    </w:rPr>
  </w:style>
  <w:style w:type="paragraph" w:customStyle="1" w:styleId="xl66">
    <w:name w:val="xl66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84F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84F7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0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097"/>
  </w:style>
  <w:style w:type="paragraph" w:styleId="a3">
    <w:name w:val="Body Text"/>
    <w:basedOn w:val="a"/>
    <w:link w:val="a4"/>
    <w:rsid w:val="00A6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610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A61097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A61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610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6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097"/>
  </w:style>
  <w:style w:type="paragraph" w:customStyle="1" w:styleId="ConsPlusNormal">
    <w:name w:val="ConsPlusNormal"/>
    <w:rsid w:val="00A6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61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610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6109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6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A6109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ЭЭГ"/>
    <w:basedOn w:val="a"/>
    <w:rsid w:val="00A610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109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610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A6109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784F7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84F79"/>
    <w:rPr>
      <w:color w:val="800080"/>
      <w:u w:val="single"/>
    </w:rPr>
  </w:style>
  <w:style w:type="paragraph" w:customStyle="1" w:styleId="xl66">
    <w:name w:val="xl66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84F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84F7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4294930979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73</cp:revision>
  <cp:lastPrinted>2018-06-20T04:41:00Z</cp:lastPrinted>
  <dcterms:created xsi:type="dcterms:W3CDTF">2013-05-10T12:38:00Z</dcterms:created>
  <dcterms:modified xsi:type="dcterms:W3CDTF">2018-06-20T04:43:00Z</dcterms:modified>
</cp:coreProperties>
</file>