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7C" w:rsidRPr="00A53A7C" w:rsidRDefault="00A53A7C" w:rsidP="00A5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A53A7C" w:rsidRPr="00A53A7C" w:rsidRDefault="00A53A7C" w:rsidP="00A5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за 2022</w:t>
      </w: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A53A7C" w:rsidRPr="00A53A7C" w:rsidRDefault="00A53A7C" w:rsidP="00A5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A7C" w:rsidRPr="00A53A7C" w:rsidRDefault="00A53A7C" w:rsidP="00A53A7C">
      <w:pPr>
        <w:tabs>
          <w:tab w:val="left" w:pos="7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A7C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Чадан                                                                                                                                           «</w:t>
      </w:r>
      <w:r w:rsidR="008C228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A53A7C">
        <w:rPr>
          <w:rFonts w:ascii="Times New Roman" w:eastAsia="Times New Roman" w:hAnsi="Times New Roman" w:cs="Times New Roman"/>
          <w:sz w:val="20"/>
          <w:szCs w:val="20"/>
          <w:lang w:eastAsia="ru-RU"/>
        </w:rPr>
        <w:t>» апреля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53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проверки: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Контрольно-счетного органа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32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4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32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2023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3A7C" w:rsidRP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отчета об исполнении бюджета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A53A7C" w:rsidRP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проверки: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A53A7C" w:rsidRP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3A7C" w:rsidRPr="00A53A7C" w:rsidRDefault="00A53A7C" w:rsidP="00A53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период: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3A7C" w:rsidRPr="00A53A7C" w:rsidRDefault="00A53A7C" w:rsidP="00A53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проверки: </w:t>
      </w:r>
      <w:r w:rsidR="008C228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53A7C" w:rsidRPr="00A53A7C" w:rsidRDefault="00A53A7C" w:rsidP="00A5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A53A7C" w:rsidRPr="00A53A7C" w:rsidRDefault="00A53A7C" w:rsidP="00A5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</w:t>
      </w:r>
      <w:r w:rsidRPr="00A53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бюджета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Хайыраканский</w:t>
      </w:r>
      <w:proofErr w:type="spellEnd"/>
      <w:r w:rsidR="00213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13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213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13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213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«17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декабря 202</w:t>
      </w:r>
      <w:r w:rsidR="007E4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13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 113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бюджета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на 202</w:t>
      </w:r>
      <w:r w:rsidR="007E4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и плановый период 202</w:t>
      </w:r>
      <w:r w:rsidR="007E4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7E4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="00004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годов» с изменениями</w:t>
      </w:r>
      <w:proofErr w:type="gramEnd"/>
      <w:r w:rsidR="00004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20.12.2022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BF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бюджет  сельского 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п.3 ст.37 Положения о бюджетном процессе, утвержденного решением Хурала представителей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годовой отчет об исполнении бюджета представляется в Хурал представителей не позднее 1 апреля текущего года. 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уровня организации бюджетного процесса</w:t>
      </w:r>
    </w:p>
    <w:p w:rsidR="00A53A7C" w:rsidRPr="00A53A7C" w:rsidRDefault="00A53A7C" w:rsidP="00A53A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бюджет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Решением Хурала представителей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«</w:t>
      </w:r>
      <w:r w:rsidR="002136F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136F1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утверждены основные характеристики бюджета сельского поселения на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A53A7C" w:rsidRPr="00A53A7C" w:rsidRDefault="00A53A7C" w:rsidP="00A53A7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</w:t>
      </w:r>
      <w:r w:rsidR="00F16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0AE">
        <w:rPr>
          <w:rFonts w:ascii="Times New Roman" w:eastAsia="Times New Roman" w:hAnsi="Times New Roman" w:cs="Times New Roman"/>
          <w:sz w:val="24"/>
          <w:szCs w:val="24"/>
          <w:lang w:eastAsia="ru-RU"/>
        </w:rPr>
        <w:t>252,5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3A7C" w:rsidRPr="00A53A7C" w:rsidRDefault="00A53A7C" w:rsidP="00A53A7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 - </w:t>
      </w:r>
      <w:r w:rsidR="00F16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0AE">
        <w:rPr>
          <w:rFonts w:ascii="Times New Roman" w:eastAsia="Times New Roman" w:hAnsi="Times New Roman" w:cs="Times New Roman"/>
          <w:sz w:val="24"/>
          <w:szCs w:val="24"/>
          <w:lang w:eastAsia="ru-RU"/>
        </w:rPr>
        <w:t>252,5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3A7C" w:rsidRPr="00A53A7C" w:rsidRDefault="00A53A7C" w:rsidP="00A53A7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Дефицит (профицит) бюджета – </w:t>
      </w:r>
      <w:r w:rsidR="00F160A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A53A7C" w:rsidRPr="00A53A7C" w:rsidRDefault="00A53A7C" w:rsidP="00A53A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Решениями Хурала представителей 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вносились изменения в течение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C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</w:t>
      </w:r>
    </w:p>
    <w:p w:rsidR="00A53A7C" w:rsidRPr="00A53A7C" w:rsidRDefault="00A53A7C" w:rsidP="00A53A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сельского поселения внесены Решением Хурала представителей сельского поселения от </w:t>
      </w:r>
      <w:r w:rsidR="00BF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7E4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BF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бюджет  сельского 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который составил: </w:t>
      </w:r>
    </w:p>
    <w:p w:rsidR="00A53A7C" w:rsidRPr="00A53A7C" w:rsidRDefault="00A53A7C" w:rsidP="00A53A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 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6488,84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3A7C" w:rsidRPr="00A53A7C" w:rsidRDefault="00A53A7C" w:rsidP="00A53A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 - 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6469,14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3A7C" w:rsidRPr="00A53A7C" w:rsidRDefault="00763C2A" w:rsidP="00A53A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="00A53A7C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37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53A7C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– 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19,7</w:t>
      </w:r>
      <w:r w:rsidR="00A53A7C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53A7C" w:rsidRPr="00A53A7C" w:rsidRDefault="00A53A7C" w:rsidP="00A53A7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A7C" w:rsidRPr="00A53A7C" w:rsidRDefault="00A53A7C" w:rsidP="00A53A7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A7C">
        <w:rPr>
          <w:rFonts w:ascii="Times New Roman" w:eastAsia="Calibri" w:hAnsi="Times New Roman" w:cs="Times New Roman"/>
          <w:sz w:val="24"/>
          <w:szCs w:val="24"/>
        </w:rPr>
        <w:t>Показатели фактического исполнения бюджета за 202</w:t>
      </w:r>
      <w:r w:rsidR="007E49B7">
        <w:rPr>
          <w:rFonts w:ascii="Times New Roman" w:eastAsia="Calibri" w:hAnsi="Times New Roman" w:cs="Times New Roman"/>
          <w:sz w:val="24"/>
          <w:szCs w:val="24"/>
        </w:rPr>
        <w:t>2</w:t>
      </w:r>
      <w:r w:rsidRPr="00A53A7C"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отчета об исполнении бюджета за 202</w:t>
      </w:r>
      <w:r w:rsidR="007E49B7">
        <w:rPr>
          <w:rFonts w:ascii="Times New Roman" w:eastAsia="Calibri" w:hAnsi="Times New Roman" w:cs="Times New Roman"/>
          <w:sz w:val="24"/>
          <w:szCs w:val="24"/>
        </w:rPr>
        <w:t>2</w:t>
      </w:r>
      <w:r w:rsidRPr="00A53A7C">
        <w:rPr>
          <w:rFonts w:ascii="Times New Roman" w:eastAsia="Calibri" w:hAnsi="Times New Roman" w:cs="Times New Roman"/>
          <w:sz w:val="24"/>
          <w:szCs w:val="24"/>
        </w:rPr>
        <w:t xml:space="preserve"> год, отчета по поступлениям и выбытиям (ф. 0503151) по состоянию на 01.01.202</w:t>
      </w:r>
      <w:r w:rsidR="007E49B7">
        <w:rPr>
          <w:rFonts w:ascii="Times New Roman" w:eastAsia="Calibri" w:hAnsi="Times New Roman" w:cs="Times New Roman"/>
          <w:sz w:val="24"/>
          <w:szCs w:val="24"/>
        </w:rPr>
        <w:t>3</w:t>
      </w:r>
      <w:r w:rsidRPr="00A53A7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администрацией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 бюджетополучателей, в том числе: 1 главный распорядитель бюджетных средств.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сельскогопоселения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Соглашении определены условия предоставления средств из бюджета </w:t>
      </w:r>
      <w:proofErr w:type="spellStart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Отделе № 3 открыт лицевой счет получателя бюджетных средств № 03123002920, расчетный счет 40204810600000000506 «Средства местного бюджета» открытый в ГРКЦ НБ</w:t>
      </w: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Тыва Банка России г. Кызыл, БИК банка 049304001.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исполнения доходной части бюджета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исполнена за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6488,84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100 % от планового показателя 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6469,14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  <w:r w:rsidRPr="00A5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 ф. 0503117 доходная часть бюджета сельского поселения за 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перевыполнена на сумму 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19,7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связи тем, что перевыполнены показатели налоговые и неналоговые доходы, которые исполнены на 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 и составили 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268,48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при плане 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214,0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A5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A7C" w:rsidRPr="00A53A7C" w:rsidRDefault="00A53A7C" w:rsidP="00A53A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доходной части  бюджета сельского поселения представлены в следующей таблице:</w:t>
      </w: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(в 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3"/>
        <w:gridCol w:w="1468"/>
        <w:gridCol w:w="1417"/>
        <w:gridCol w:w="1843"/>
      </w:tblGrid>
      <w:tr w:rsidR="007E49B7" w:rsidRPr="00A53A7C" w:rsidTr="007E49B7">
        <w:trPr>
          <w:trHeight w:val="79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9B7" w:rsidRDefault="007E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     Наименование доходов 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9B7" w:rsidRDefault="007E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9B7" w:rsidRDefault="007E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2022г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B7" w:rsidRDefault="007E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</w:t>
            </w:r>
            <w:r w:rsidR="00353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</w:p>
        </w:tc>
      </w:tr>
      <w:tr w:rsidR="00C120DC" w:rsidRPr="00A53A7C" w:rsidTr="007E49B7">
        <w:trPr>
          <w:trHeight w:val="107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120DC" w:rsidRDefault="00C120DC" w:rsidP="00455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120DC" w:rsidRDefault="00C120DC" w:rsidP="00455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 w:rsidP="00455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268,48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106,30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5,75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122,43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20DC" w:rsidRPr="00A53A7C" w:rsidTr="007E49B7">
        <w:trPr>
          <w:trHeight w:val="332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C120DC" w:rsidRPr="00A53A7C" w:rsidTr="007E49B7">
        <w:trPr>
          <w:trHeight w:val="29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120DC" w:rsidRPr="00A53A7C" w:rsidTr="007E49B7">
        <w:trPr>
          <w:trHeight w:val="259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0DC" w:rsidRPr="00A53A7C" w:rsidTr="007E49B7">
        <w:trPr>
          <w:trHeight w:val="22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C120DC" w:rsidRPr="00A53A7C" w:rsidTr="007E49B7">
        <w:trPr>
          <w:trHeight w:val="322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C120DC" w:rsidRPr="00A53A7C" w:rsidTr="007E49B7">
        <w:trPr>
          <w:trHeight w:val="28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C120DC" w:rsidRPr="00A53A7C" w:rsidTr="007E49B7">
        <w:trPr>
          <w:trHeight w:val="27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120DC" w:rsidRPr="00A53A7C" w:rsidTr="007E49B7">
        <w:trPr>
          <w:trHeight w:val="277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6252,86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6220,36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6252,86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6220,36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99%</w:t>
            </w:r>
          </w:p>
        </w:tc>
      </w:tr>
      <w:tr w:rsidR="00C120DC" w:rsidRPr="00A53A7C" w:rsidTr="007E49B7">
        <w:trPr>
          <w:trHeight w:val="296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5437,26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5437,26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C120DC" w:rsidRPr="00A53A7C" w:rsidTr="007E49B7">
        <w:trPr>
          <w:trHeight w:val="271"/>
        </w:trPr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бюджетам муниципальных районов на выравнивание бюджетной обеспеченности из бюджета субъектов Российской Федерации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5437,26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C120DC" w:rsidRPr="00A53A7C" w:rsidTr="007E49B7">
        <w:trPr>
          <w:trHeight w:val="276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587,90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555,40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94%</w:t>
            </w:r>
          </w:p>
        </w:tc>
      </w:tr>
      <w:tr w:rsidR="00C120DC" w:rsidRPr="00A53A7C" w:rsidTr="007E49B7">
        <w:trPr>
          <w:trHeight w:val="241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227,70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C120DC" w:rsidRPr="00A53A7C" w:rsidTr="007E49B7">
        <w:trPr>
          <w:trHeight w:val="241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C120DC" w:rsidRPr="00A53A7C" w:rsidTr="007E49B7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ДОХОДОВ 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6466,86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6488,84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DC" w:rsidRDefault="00C12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</w:tbl>
    <w:p w:rsidR="00A53A7C" w:rsidRP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A7C" w:rsidRP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 в течение года в бюджет поселения вносились  изменения </w:t>
      </w:r>
      <w:r w:rsidR="00CF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утвержденные показатели бюджета подведены под показатели фактического исполнения. По состоянию на 01.01.202</w:t>
      </w:r>
      <w:r w:rsidR="007E4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остаток средств собственных доходов составлял 2,2 тыс. рублей, остаток средств собственных доходов по состоянию на 01.01.202</w:t>
      </w:r>
      <w:r w:rsidR="00834D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составило 16,0 тыс. рублей. </w:t>
      </w:r>
    </w:p>
    <w:p w:rsidR="00A53A7C" w:rsidRPr="00A53A7C" w:rsidRDefault="00A53A7C" w:rsidP="00A53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A53A7C" w:rsidRPr="00A53A7C" w:rsidRDefault="00A53A7C" w:rsidP="00A53A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источника собственных доходов</w:t>
      </w:r>
    </w:p>
    <w:p w:rsidR="00A53A7C" w:rsidRP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По отчету ф. 0503117 в 202</w:t>
      </w:r>
      <w:r w:rsidR="0083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доходы получаемые, в виде арендной платы, а также средства от продажи права на заключение договоров аренды за земли, находящиеся в собственности поселения поступили в сумме </w:t>
      </w:r>
      <w:r w:rsidR="0083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32,0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плановые  показатели уточнены и согласно бюджету на 202</w:t>
      </w:r>
      <w:r w:rsidR="0083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составляют </w:t>
      </w:r>
      <w:r w:rsidR="0083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32,0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</w:t>
      </w:r>
    </w:p>
    <w:p w:rsidR="00A53A7C" w:rsidRPr="00A53A7C" w:rsidRDefault="00A53A7C" w:rsidP="00A53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A7C" w:rsidRPr="00A53A7C" w:rsidRDefault="00A53A7C" w:rsidP="00A53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расходной части бюджета</w:t>
      </w: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834D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представлены в следующей таблице:</w:t>
      </w:r>
    </w:p>
    <w:p w:rsidR="00A53A7C" w:rsidRPr="00A53A7C" w:rsidRDefault="00A53A7C" w:rsidP="00A53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(в тыс.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350"/>
      </w:tblGrid>
      <w:tr w:rsidR="00A53A7C" w:rsidRPr="00A53A7C" w:rsidTr="007E49B7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7C" w:rsidRPr="00A53A7C" w:rsidRDefault="00A53A7C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A53A7C" w:rsidRPr="00A53A7C" w:rsidTr="007E49B7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A7C" w:rsidRPr="00A53A7C" w:rsidTr="007E49B7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6472,04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6469,14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2E76BD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53A7C" w:rsidRPr="00A53A7C" w:rsidTr="007E49B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5181,75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5178,85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2E76BD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53A7C" w:rsidRPr="00A53A7C" w:rsidTr="007E49B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A53A7C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53A7C" w:rsidRPr="00A53A7C" w:rsidTr="007E49B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A53A7C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53A7C" w:rsidRPr="00A53A7C" w:rsidTr="007E49B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A53A7C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53A7C" w:rsidRPr="00A53A7C" w:rsidTr="007E49B7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A53A7C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53A7C" w:rsidRPr="00A53A7C" w:rsidTr="007E49B7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3A7C" w:rsidRPr="00A53A7C" w:rsidRDefault="00A53A7C" w:rsidP="00A5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834DA8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7C" w:rsidRPr="00A53A7C" w:rsidRDefault="00A53A7C" w:rsidP="00A5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3A7C" w:rsidRPr="00A53A7C" w:rsidRDefault="00A53A7C" w:rsidP="00A53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общих расходах бюджета сельского поселения удельный вес расходов «Национальная экономика» составило –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6,3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 «Общегосударственные вопросы» -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80,1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«Национальная оборона» - 3,5 процента, «Жилищно-коммунальное хозяйство» -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9,8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нта, «Социальная политика» - 0,3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процента. </w:t>
      </w:r>
      <w:proofErr w:type="gramEnd"/>
    </w:p>
    <w:p w:rsidR="00A53A7C" w:rsidRPr="00A53A7C" w:rsidRDefault="00A53A7C" w:rsidP="00A5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по расходной части исполнен на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469,14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 99,9 процента от утвержденной суммы на 202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472,04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Исполнение расходной части по функциональной классификации расходов бюджета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 плановые показатели расходной части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выполнены.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разделов «Общегосударственные вопросы», «Национальная экономика», «Жилищно-коммунальное хозяйство», «Социальная политика» и  «Национальная оборона» составило по 100 процентов.</w:t>
      </w:r>
    </w:p>
    <w:p w:rsidR="00A53A7C" w:rsidRPr="00A53A7C" w:rsidRDefault="00A53A7C" w:rsidP="002E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</w:t>
      </w:r>
      <w:proofErr w:type="spellStart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</w:t>
      </w:r>
    </w:p>
    <w:p w:rsidR="00A53A7C" w:rsidRPr="00A53A7C" w:rsidRDefault="00A53A7C" w:rsidP="00A53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бюджет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422,65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подтверждены уведомлениями Финансового управления администрации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которые поступили из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422,65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proofErr w:type="gramEnd"/>
    </w:p>
    <w:p w:rsidR="00A53A7C" w:rsidRPr="00A53A7C" w:rsidRDefault="00A53A7C" w:rsidP="00A53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Сверки расчетов по межбюджетным отношениям с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по состоянию на </w:t>
      </w: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A53A7C" w:rsidRPr="00A53A7C" w:rsidRDefault="00A53A7C" w:rsidP="00A53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A7C" w:rsidRPr="00A53A7C" w:rsidRDefault="00A53A7C" w:rsidP="00A53A7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бюджете и оценка исполнения проведенных по ним мероприятий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Правительства Республики Тыва от 05.06.2014 г. № 259 «Об утверждении порядка разработки и реализации республиканских целевых программ» в администрации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Всего за 202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 по финансированию муниципальных программ предусмотрено </w:t>
      </w:r>
      <w:r w:rsidR="00265DAB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рублей, а исполнено на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348,0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следующим программам:</w:t>
      </w:r>
    </w:p>
    <w:p w:rsidR="002E76BD" w:rsidRPr="00A53A7C" w:rsidRDefault="002E76BD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муниципальной целевой программе «Комплексн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транспортной инфраструктуры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741D">
        <w:rPr>
          <w:rFonts w:ascii="Times New Roman" w:eastAsia="Times New Roman" w:hAnsi="Times New Roman" w:cs="Times New Roman"/>
          <w:sz w:val="24"/>
          <w:szCs w:val="24"/>
          <w:lang w:eastAsia="ru-RU"/>
        </w:rPr>
        <w:t>-2024 годы» - 318,0 тыс. рублей на установку уличного освещения.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муниципальной целевой программе «Комплексные меры противодействия злоупотребления наркотиками и их незаконному обороту на 202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- 10,0 тыс. рублей;</w:t>
      </w:r>
    </w:p>
    <w:p w:rsid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муниципальной целевой программе «Дети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- </w:t>
      </w:r>
      <w:r w:rsidR="002E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рублей.  </w:t>
      </w:r>
    </w:p>
    <w:p w:rsidR="00F36EA3" w:rsidRPr="00A53A7C" w:rsidRDefault="00F36EA3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AB" w:rsidRPr="00265DAB" w:rsidRDefault="00265DAB" w:rsidP="00265DA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5D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 w:rsidRPr="00265DAB">
        <w:rPr>
          <w:rFonts w:ascii="Times New Roman" w:eastAsia="Calibri" w:hAnsi="Times New Roman" w:cs="Times New Roman"/>
          <w:b/>
          <w:i/>
          <w:sz w:val="24"/>
          <w:szCs w:val="24"/>
        </w:rPr>
        <w:t>Дзун-Хемчикского</w:t>
      </w:r>
      <w:proofErr w:type="spellEnd"/>
      <w:r w:rsidRPr="00265D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65DAB">
        <w:rPr>
          <w:rFonts w:ascii="Times New Roman" w:eastAsia="Calibri" w:hAnsi="Times New Roman" w:cs="Times New Roman"/>
          <w:b/>
          <w:i/>
          <w:sz w:val="24"/>
          <w:szCs w:val="24"/>
        </w:rPr>
        <w:t>кожууна</w:t>
      </w:r>
      <w:proofErr w:type="spellEnd"/>
      <w:r w:rsidRPr="00265D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2022-2024 годы»</w:t>
      </w:r>
    </w:p>
    <w:p w:rsidR="00265DAB" w:rsidRPr="00265DAB" w:rsidRDefault="00265DAB" w:rsidP="00265DA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5DAB" w:rsidRPr="00265DAB" w:rsidRDefault="00265DAB" w:rsidP="00265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Общий объем финансирования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 на 2022 год составил 318</w:t>
      </w:r>
      <w:r w:rsidRPr="0026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рублей.  </w:t>
      </w:r>
    </w:p>
    <w:p w:rsidR="00BD3374" w:rsidRDefault="00265DAB" w:rsidP="00FC0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6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исполнении бюджета ф. № 050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3117 за 2022 год исполнено на 318</w:t>
      </w:r>
      <w:r w:rsidRPr="0026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рублей, т.е. 100%. </w:t>
      </w:r>
      <w:r w:rsidR="00BD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</w:p>
    <w:p w:rsidR="00BD3374" w:rsidRDefault="00BD3374" w:rsidP="00FC0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 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Ириной Анатольевной и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 от 16.12.2022г. на приобретение хозяйственных товаров на сумму 283 000 руб. (</w:t>
      </w:r>
      <w:r w:rsidR="00D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платежным поручением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786259 от 23.12.2022г.)</w:t>
      </w:r>
      <w:r w:rsidR="003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средства были потрачены на установку уличного освещения </w:t>
      </w:r>
      <w:proofErr w:type="spellStart"/>
      <w:r w:rsidR="00307B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307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FA1" w:rsidRDefault="00BD3374" w:rsidP="00FC0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«МК Земля» и администрациями </w:t>
      </w:r>
      <w:proofErr w:type="spellStart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договора подряда № 30 от 01.11.2022г., где Заказчики обязуются оплатить выполнение организации дорожного движения в сельских поселениях </w:t>
      </w:r>
      <w:proofErr w:type="spellStart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сумонов</w:t>
      </w:r>
      <w:proofErr w:type="spellEnd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Подрядчик принимает на себя обязанность обеспечить проведение этих работ. Стоимость работ составляет 35 000 рублей. Срок выполнения работ 6 месяцев с моме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поступления суммы Договора</w:t>
      </w:r>
      <w:r w:rsidR="00D4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04C8" w:rsidRPr="00FC04C8" w:rsidRDefault="00D97FA1" w:rsidP="00FC0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произведена платежным поручением </w:t>
      </w:r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762672 от 19.12.2022г. на сумму 35 000 рублей на основании Счета</w:t>
      </w:r>
      <w:r w:rsidR="00D4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№ 38 от 01.11.2022г. </w:t>
      </w:r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Акта приема-передачи выполненных работ № 38 от 01.11.2022г. за выполнение организации дорожного движения с. </w:t>
      </w:r>
      <w:proofErr w:type="spellStart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</w:t>
      </w:r>
      <w:proofErr w:type="spellEnd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04C8" w:rsidRPr="00F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D43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3A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Муниципальная целевая программа «Дети </w:t>
      </w:r>
      <w:proofErr w:type="spellStart"/>
      <w:r w:rsidRPr="00A53A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сумона</w:t>
      </w:r>
      <w:proofErr w:type="spellEnd"/>
      <w:r w:rsidRPr="00A53A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202</w:t>
      </w:r>
      <w:r w:rsidR="00722E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-202</w:t>
      </w:r>
      <w:r w:rsidR="00722E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A53A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годы»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Решение поставленных задач в 202</w:t>
      </w:r>
      <w:r w:rsidR="00722E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22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планировалась осуществить путем реализации </w:t>
      </w:r>
      <w:r w:rsidRPr="008726F4">
        <w:rPr>
          <w:rFonts w:ascii="Times New Roman" w:eastAsia="Times New Roman" w:hAnsi="Times New Roman" w:cs="Times New Roman"/>
          <w:sz w:val="24"/>
          <w:szCs w:val="24"/>
          <w:lang w:eastAsia="ru-RU"/>
        </w:rPr>
        <w:t>22-х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 К программе приложены  перечень мероприятий муниципальной программы «Дети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 следующими основными мероприятиями с плановы</w:t>
      </w:r>
      <w:r w:rsidR="007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объёмом финансирования на 2022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r w:rsidR="00722EB4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рублей: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безопасного материнства и рождения здоровых детей;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здоровья детей и подростков, в том числе репродуктивного здоровья;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социального неблагополучия семей с детьми: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детей.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Оценка социально-экономической эффективности реализации Программы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Фактически согласно отчета  об исполнении бюджета ф. № 05</w:t>
      </w:r>
      <w:r w:rsidR="0072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03117 за 2022 год исполнено на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2E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рублей, или на 100 % </w:t>
      </w: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</w:t>
      </w:r>
      <w:r w:rsidR="0072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вержденного. Средства на сумму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2E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 были израсходованы на приобретение подарочных наборов с </w:t>
      </w:r>
      <w:r w:rsidR="00872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«Эверест Плюс»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новогоднего маскарадного мероприятия, проведенного в СДК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№ </w:t>
      </w:r>
      <w:r w:rsidR="008726F4">
        <w:rPr>
          <w:rFonts w:ascii="Times New Roman" w:eastAsia="Times New Roman" w:hAnsi="Times New Roman" w:cs="Times New Roman"/>
          <w:sz w:val="24"/>
          <w:szCs w:val="24"/>
          <w:lang w:eastAsia="ru-RU"/>
        </w:rPr>
        <w:t>755415 и от 16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722E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г.).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53A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Муниципальная целевая программа «Комплексные меры противодействия злоупотребления наркотиками и их незаконному обороту на 2022-2023 годы»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Перечень основных программных мероприятий: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организационные меры по профилактике злоупотреблению наркотиками  их незаконному обороту;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злоупотребления наркотикам;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лечение лиц потребляющих наркотики без назначения врача;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пресечение незаконного оборота наркотиков;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 – кадровые мероприятия;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 материально-техническому обеспечению.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202</w:t>
      </w:r>
      <w:r w:rsidR="00F36E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будет уничтожена дикорастущая конопля на площади 50 га.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Источниками финансирования мероприятий Программы являются средства муниципального бюджета поселения.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Общий объем финансирования Программы  на 20</w:t>
      </w:r>
      <w:r w:rsidR="00F36EA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10,0 тыс. рублей.  </w:t>
      </w:r>
    </w:p>
    <w:p w:rsidR="00A53A7C" w:rsidRPr="00A53A7C" w:rsidRDefault="00A53A7C" w:rsidP="00A53A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Согласно отчета  об исполнении бюджета ф. № 0503117 за 202</w:t>
      </w:r>
      <w:r w:rsidR="00F3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исполнено на 10,0 тыс. рублей, т.е. 100%. Эти средства были израсходованы на приобретение горюче-смазочных материалов (бензин, дизтопливо) с ИП </w:t>
      </w:r>
      <w:proofErr w:type="spellStart"/>
      <w:r w:rsidR="007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  <w:r w:rsidR="007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№ </w:t>
      </w:r>
      <w:r w:rsidR="00740EBA">
        <w:rPr>
          <w:rFonts w:ascii="Times New Roman" w:eastAsia="Times New Roman" w:hAnsi="Times New Roman" w:cs="Times New Roman"/>
          <w:sz w:val="24"/>
          <w:szCs w:val="24"/>
          <w:lang w:eastAsia="ru-RU"/>
        </w:rPr>
        <w:t>305157 от 29.06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36E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86A41" w:rsidRPr="00557ABB" w:rsidRDefault="00A53A7C" w:rsidP="00186A4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6A41"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186A41" w:rsidRPr="00557ABB" w:rsidRDefault="00186A41" w:rsidP="00186A4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D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Хайыраканский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186A41" w:rsidRPr="00557ABB" w:rsidRDefault="00186A41" w:rsidP="00186A4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186A41" w:rsidRPr="00557ABB" w:rsidRDefault="00186A41" w:rsidP="00186A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дебиторской и кредиторской задолженности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2E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на начало 2022 года по данным отчета </w:t>
      </w:r>
      <w:r w:rsidR="00B32E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дебиторской и кредиторской задолженности</w:t>
      </w:r>
      <w:r w:rsidR="00B32E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 0503369) сумма задолженности на начало года составила </w:t>
      </w:r>
      <w:r w:rsidR="00B3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77,2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счетам:</w:t>
      </w:r>
    </w:p>
    <w:p w:rsidR="00186A41" w:rsidRPr="00557ABB" w:rsidRDefault="00186A41" w:rsidP="00186A4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C33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3B5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C33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5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362"/>
        <w:gridCol w:w="3047"/>
        <w:gridCol w:w="2268"/>
        <w:gridCol w:w="2693"/>
      </w:tblGrid>
      <w:tr w:rsidR="00FC5D5D" w:rsidRPr="00557ABB" w:rsidTr="006C2CB0">
        <w:trPr>
          <w:trHeight w:val="255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D5D" w:rsidRPr="00F578F1" w:rsidRDefault="00FC5D5D" w:rsidP="004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D5D" w:rsidRPr="00F578F1" w:rsidRDefault="00FC5D5D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01.01.2022г.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5D" w:rsidRPr="00F578F1" w:rsidRDefault="00FC5D5D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01.01.2023г.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D5D" w:rsidRPr="00F578F1" w:rsidRDefault="00FC5D5D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Увеличение, снижение</w:t>
            </w:r>
          </w:p>
        </w:tc>
      </w:tr>
      <w:tr w:rsidR="00FC5D5D" w:rsidRPr="00557ABB" w:rsidTr="006C2CB0">
        <w:trPr>
          <w:trHeight w:val="33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D5D" w:rsidRPr="00F578F1" w:rsidRDefault="00FC5D5D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D5D" w:rsidRPr="00F578F1" w:rsidRDefault="00FC5D5D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D5D" w:rsidRPr="00F578F1" w:rsidRDefault="00FC5D5D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D5D" w:rsidRPr="00F578F1" w:rsidRDefault="00FC5D5D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E1F" w:rsidRPr="00557ABB" w:rsidTr="006C2CB0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E1F" w:rsidRPr="00F578F1" w:rsidRDefault="000D5514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32E1F"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20611000 зарплата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0D5514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32E1F" w:rsidRPr="00557ABB" w:rsidTr="006C2CB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1 20600000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77 154,86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34 280,85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-42 874,01</w:t>
            </w:r>
          </w:p>
        </w:tc>
      </w:tr>
      <w:tr w:rsidR="00B32E1F" w:rsidRPr="00557ABB" w:rsidTr="006C2CB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120622000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0525E2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2E1F"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</w:tr>
      <w:tr w:rsidR="00B32E1F" w:rsidRPr="00557ABB" w:rsidTr="006C2CB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1 20623000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60 545,40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20 577,35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-39 968,05</w:t>
            </w:r>
          </w:p>
        </w:tc>
      </w:tr>
      <w:tr w:rsidR="00B32E1F" w:rsidRPr="00557ABB" w:rsidTr="006C2CB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1 20634000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15 869,46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13 703,50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-2 165,96</w:t>
            </w:r>
          </w:p>
        </w:tc>
      </w:tr>
      <w:tr w:rsidR="00B32E1F" w:rsidRPr="00557ABB" w:rsidTr="006C2CB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1 30300000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0D5514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B32E1F"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1,41</w:t>
            </w:r>
          </w:p>
        </w:tc>
      </w:tr>
      <w:tr w:rsidR="00B32E1F" w:rsidRPr="00557ABB" w:rsidTr="006C2CB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1 30311000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1F" w:rsidRPr="00F578F1" w:rsidRDefault="000D5514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2E1F"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</w:tr>
      <w:tr w:rsidR="00B32E1F" w:rsidRPr="00557ABB" w:rsidTr="006C2CB0">
        <w:trPr>
          <w:trHeight w:val="36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B32E1F" w:rsidRPr="00F578F1" w:rsidRDefault="00B32E1F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  <w:r w:rsidR="000D5514"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D5514"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32E1F" w:rsidRPr="00F578F1" w:rsidRDefault="00B32E1F" w:rsidP="005D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34 280,85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32E1F" w:rsidRPr="00F578F1" w:rsidRDefault="000525E2" w:rsidP="0005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B32E1F"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874,01</w:t>
            </w:r>
          </w:p>
        </w:tc>
      </w:tr>
    </w:tbl>
    <w:p w:rsidR="005F5B29" w:rsidRDefault="00186A41" w:rsidP="00186A4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86A41" w:rsidRDefault="005F5B29" w:rsidP="00186A4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представленной таблицы, анализ дебиторской задолженности показывает общее уменьшение к концу 2022 года на </w:t>
      </w:r>
      <w:r w:rsidR="00C25A4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,9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или на </w:t>
      </w:r>
      <w:r w:rsidR="00572DED">
        <w:rPr>
          <w:rFonts w:ascii="Times New Roman" w:eastAsia="Times New Roman" w:hAnsi="Times New Roman" w:cs="Times New Roman"/>
          <w:sz w:val="24"/>
          <w:szCs w:val="24"/>
          <w:lang w:eastAsia="ru-RU"/>
        </w:rPr>
        <w:t>55,6</w:t>
      </w:r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86A41" w:rsidRPr="005F5B29" w:rsidRDefault="00186A41" w:rsidP="00186A4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наблюдается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</w:t>
      </w:r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задолженности по счетам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42,9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</w:t>
      </w:r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расчетам с поставщиками и подрядчиками услуг (по счету 20600) задолженность уменьшилось</w:t>
      </w:r>
      <w:r w:rsidR="000D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 ,9 тыс. рублей</w:t>
      </w:r>
      <w:r w:rsidR="00052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5F5B2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5F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20622 </w:t>
      </w:r>
      <w:r w:rsidR="005F5B29" w:rsidRPr="005F5B29">
        <w:rPr>
          <w:rFonts w:ascii="Times New Roman" w:hAnsi="Times New Roman" w:cs="Times New Roman"/>
          <w:bCs/>
          <w:color w:val="333333"/>
          <w:shd w:val="clear" w:color="auto" w:fill="FFFFFF"/>
        </w:rPr>
        <w:t>«Расчеты по авансам по транспортным</w:t>
      </w:r>
      <w:r w:rsidR="005F5B29" w:rsidRPr="005F5B29">
        <w:rPr>
          <w:rFonts w:ascii="Times New Roman" w:hAnsi="Times New Roman" w:cs="Times New Roman"/>
          <w:color w:val="333333"/>
          <w:shd w:val="clear" w:color="auto" w:fill="FFFFFF"/>
        </w:rPr>
        <w:t> услугам»</w:t>
      </w:r>
      <w:r w:rsidR="005F5B29">
        <w:rPr>
          <w:rFonts w:ascii="Times New Roman" w:hAnsi="Times New Roman" w:cs="Times New Roman"/>
          <w:color w:val="333333"/>
          <w:shd w:val="clear" w:color="auto" w:fill="FFFFFF"/>
        </w:rPr>
        <w:t xml:space="preserve"> на 0,1 тыс. рублей, по счету 20623 </w:t>
      </w:r>
      <w:r w:rsidR="005F5B29" w:rsidRP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«Расчеты по авансам по коммунальным услугам»</w:t>
      </w:r>
      <w:r w:rsid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52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39,97</w:t>
      </w:r>
      <w:r w:rsid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тыс</w:t>
      </w:r>
      <w:r w:rsidR="00052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 и по</w:t>
      </w:r>
      <w:proofErr w:type="gramEnd"/>
      <w:r w:rsid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счету 20634 </w:t>
      </w:r>
      <w:r w:rsidR="005F5B29" w:rsidRP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«Расчеты по авансам по приобретению материальных запасов»</w:t>
      </w:r>
      <w:r w:rsid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52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2,2 тыс. рублей.</w:t>
      </w:r>
    </w:p>
    <w:p w:rsidR="00186A41" w:rsidRDefault="005F5B29" w:rsidP="00186A4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Дебиторская задолженность по расчетам с внебюджетными фондами к концу года снизилась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счету 30311 </w:t>
      </w:r>
      <w:r w:rsidRPr="005F5B2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"Расчеты по страховым взносам на обязательное пенсионное страхование на выплату накоп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ительной части трудовой пенсии"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на</w:t>
      </w:r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100 %.</w:t>
      </w:r>
    </w:p>
    <w:p w:rsidR="00186A41" w:rsidRDefault="005F5B29" w:rsidP="00186A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кредиторской задолженности </w:t>
      </w:r>
      <w:proofErr w:type="spellStart"/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10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показал увеличение задолженности </w:t>
      </w:r>
      <w:r w:rsidR="003B5A27" w:rsidRPr="003B5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расчетам по принятым обязательствам</w:t>
      </w:r>
      <w:r w:rsidR="003B5A2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 </w:t>
      </w:r>
      <w:r w:rsidR="003B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331,63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bookmarkStart w:id="0" w:name="_GoBack"/>
      <w:bookmarkEnd w:id="0"/>
    </w:p>
    <w:p w:rsidR="00186A41" w:rsidRPr="00F578F1" w:rsidRDefault="00F578F1" w:rsidP="00F578F1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</w:t>
      </w:r>
      <w:r w:rsidRPr="00F578F1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362"/>
        <w:gridCol w:w="2763"/>
        <w:gridCol w:w="2410"/>
        <w:gridCol w:w="2835"/>
      </w:tblGrid>
      <w:tr w:rsidR="00C33CD1" w:rsidRPr="00557ABB" w:rsidTr="00377196">
        <w:trPr>
          <w:trHeight w:val="255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D1" w:rsidRPr="00F578F1" w:rsidRDefault="00C33CD1" w:rsidP="004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D1" w:rsidRPr="00F578F1" w:rsidRDefault="00C33CD1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01.01.2022г.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D1" w:rsidRPr="00F578F1" w:rsidRDefault="00C33CD1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01.01.2023г.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3CD1" w:rsidRPr="00F578F1" w:rsidRDefault="00C33CD1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Увеличение, снижение</w:t>
            </w:r>
          </w:p>
        </w:tc>
      </w:tr>
      <w:tr w:rsidR="00C33CD1" w:rsidRPr="00557ABB" w:rsidTr="00377196">
        <w:trPr>
          <w:trHeight w:val="33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CD1" w:rsidRPr="00F578F1" w:rsidRDefault="00C33CD1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D1" w:rsidRPr="00F578F1" w:rsidRDefault="00C33CD1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CD1" w:rsidRPr="00F578F1" w:rsidRDefault="00C33CD1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CD1" w:rsidRPr="00F578F1" w:rsidRDefault="00C33CD1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5A27" w:rsidRPr="00557ABB" w:rsidTr="00377196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A27" w:rsidRPr="00F578F1" w:rsidRDefault="003B5A27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1 30211000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A27" w:rsidRPr="00F578F1" w:rsidRDefault="003B5A27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A27" w:rsidRPr="00F578F1" w:rsidRDefault="003B5A27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A27" w:rsidRPr="00F578F1" w:rsidRDefault="003B5A27" w:rsidP="008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C33CD1" w:rsidTr="00377196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CD1" w:rsidRPr="00F578F1" w:rsidRDefault="00C33CD1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1 30200000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F578F1" w:rsidRDefault="00C33CD1" w:rsidP="004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F578F1" w:rsidRDefault="00C33CD1" w:rsidP="004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331 629,42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F578F1" w:rsidRDefault="00C33CD1" w:rsidP="005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+331</w:t>
            </w:r>
            <w:r w:rsidR="005C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629,42</w:t>
            </w:r>
          </w:p>
        </w:tc>
      </w:tr>
      <w:tr w:rsidR="00C33CD1" w:rsidRPr="0089746B" w:rsidTr="00377196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F578F1" w:rsidRDefault="00C33CD1" w:rsidP="002C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1 30221000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377196" w:rsidRDefault="00C33CD1" w:rsidP="004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377196" w:rsidRDefault="00C33CD1" w:rsidP="004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18 181,62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377196" w:rsidRDefault="00C33CD1" w:rsidP="005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C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18 181,62</w:t>
            </w:r>
            <w:r w:rsidR="0037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3CD1" w:rsidTr="00377196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F578F1" w:rsidRDefault="00C33CD1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1 30223000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F578F1" w:rsidRDefault="00455E4A" w:rsidP="004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F578F1" w:rsidRDefault="00C33CD1" w:rsidP="004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313 447,80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D1" w:rsidRPr="00F578F1" w:rsidRDefault="00C33CD1" w:rsidP="005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C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313 447,80</w:t>
            </w:r>
          </w:p>
        </w:tc>
      </w:tr>
      <w:tr w:rsidR="00C33CD1" w:rsidRPr="00D0500B" w:rsidTr="00377196">
        <w:trPr>
          <w:trHeight w:val="36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C33CD1" w:rsidRPr="00F578F1" w:rsidRDefault="00C33CD1" w:rsidP="00455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33CD1" w:rsidRPr="00F578F1" w:rsidRDefault="00C33CD1" w:rsidP="004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33CD1" w:rsidRPr="00F578F1" w:rsidRDefault="00C33CD1" w:rsidP="002C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331 629,42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33CD1" w:rsidRPr="00F578F1" w:rsidRDefault="00377196" w:rsidP="005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5C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331 629,42</w:t>
            </w:r>
          </w:p>
        </w:tc>
      </w:tr>
    </w:tbl>
    <w:p w:rsidR="00455E4A" w:rsidRDefault="00186A41" w:rsidP="00186A4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A78FD" w:rsidRDefault="00455E4A" w:rsidP="00186A4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кред</w:t>
      </w:r>
      <w:r w:rsidR="005E5C7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иторской задолженности в течени</w:t>
      </w:r>
      <w:proofErr w:type="gramStart"/>
      <w:r w:rsidR="005E5C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произведено за счет увеличения задолженности </w:t>
      </w:r>
      <w:r w:rsid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счету 302200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8FD" w:rsidRPr="00EA78FD">
        <w:rPr>
          <w:rFonts w:ascii="Times New Roman" w:hAnsi="Times New Roman" w:cs="Times New Roman"/>
          <w:sz w:val="24"/>
          <w:szCs w:val="24"/>
        </w:rPr>
        <w:t>Расчеты по принятым обязательствам</w:t>
      </w:r>
      <w:r w:rsidR="00EA78FD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77196">
        <w:rPr>
          <w:rFonts w:ascii="Times New Roman" w:eastAsia="Times New Roman" w:hAnsi="Times New Roman" w:cs="Times New Roman"/>
          <w:sz w:val="24"/>
          <w:szCs w:val="24"/>
          <w:lang w:eastAsia="ru-RU"/>
        </w:rPr>
        <w:t>331,</w:t>
      </w:r>
      <w:r w:rsidR="005C6F3B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5E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по счету </w:t>
      </w:r>
      <w:r w:rsid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30221 </w:t>
      </w:r>
      <w:r w:rsidR="00EA78FD" w:rsidRPr="00EA78FD">
        <w:rPr>
          <w:rFonts w:ascii="Times New Roman" w:hAnsi="Times New Roman" w:cs="Times New Roman"/>
          <w:sz w:val="24"/>
          <w:szCs w:val="24"/>
        </w:rPr>
        <w:t>Расчеты по услугам связи</w:t>
      </w:r>
      <w:r w:rsidR="00EA78FD">
        <w:t xml:space="preserve"> 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</w:t>
      </w:r>
      <w:r w:rsid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18,</w:t>
      </w:r>
      <w:r w:rsidR="005C6F3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8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счету </w:t>
      </w:r>
      <w:r w:rsid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30223 </w:t>
      </w:r>
      <w:r w:rsidR="00EA78FD" w:rsidRPr="00EA78FD">
        <w:rPr>
          <w:rFonts w:ascii="Times New Roman" w:hAnsi="Times New Roman" w:cs="Times New Roman"/>
          <w:sz w:val="24"/>
          <w:szCs w:val="24"/>
        </w:rPr>
        <w:t>Расчеты по коммунальным услугам</w:t>
      </w:r>
      <w:r w:rsidR="00186A41" w:rsidRP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увеличения </w:t>
      </w:r>
      <w:r w:rsid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>в 3</w:t>
      </w:r>
      <w:r w:rsidR="005C6F3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6F3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E5C7E" w:rsidRP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8F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186A41" w:rsidRDefault="00186A41" w:rsidP="00186A4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22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образования и увеличения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кредиторской задолженности в пояснительной записке не отражены.  </w:t>
      </w:r>
    </w:p>
    <w:p w:rsidR="00A53A7C" w:rsidRPr="00A53A7C" w:rsidRDefault="00A53A7C" w:rsidP="00186A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763C2A" w:rsidRPr="00763C2A" w:rsidRDefault="00763C2A" w:rsidP="00763C2A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уточненном бюджете, утвержденном Решением Хурала представителей сельского поселения </w:t>
      </w:r>
      <w:proofErr w:type="spellStart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2D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="00C5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</w:t>
      </w:r>
      <w:r w:rsidRPr="00763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0.12</w:t>
      </w:r>
      <w:r w:rsidRPr="00763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.2022г.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бюджет  сельского  поселения </w:t>
      </w:r>
      <w:proofErr w:type="spellStart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52D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Хайыакаский</w:t>
      </w:r>
      <w:proofErr w:type="spellEnd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2022 год» сумма профицита определена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19,7</w:t>
      </w:r>
      <w:r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53A7C" w:rsidRPr="00A53A7C" w:rsidRDefault="00763C2A" w:rsidP="00763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A53A7C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исполнение бюджета осуществлено с превышением  </w:t>
      </w:r>
      <w:r w:rsidR="006C4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над расхо</w:t>
      </w:r>
      <w:r w:rsidR="00A53A7C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дами в размере </w:t>
      </w:r>
      <w:r w:rsidR="00157120">
        <w:rPr>
          <w:rFonts w:ascii="Times New Roman" w:eastAsia="Times New Roman" w:hAnsi="Times New Roman" w:cs="Times New Roman"/>
          <w:sz w:val="24"/>
          <w:szCs w:val="24"/>
          <w:lang w:eastAsia="ru-RU"/>
        </w:rPr>
        <w:t>19,7</w:t>
      </w:r>
      <w:r w:rsidR="00A53A7C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(доходы </w:t>
      </w:r>
      <w:r w:rsidR="00157120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1571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120">
        <w:rPr>
          <w:rFonts w:ascii="Times New Roman" w:eastAsia="Times New Roman" w:hAnsi="Times New Roman" w:cs="Times New Roman"/>
          <w:sz w:val="24"/>
          <w:szCs w:val="24"/>
          <w:lang w:eastAsia="ru-RU"/>
        </w:rPr>
        <w:t>488,84</w:t>
      </w:r>
      <w:r w:rsidR="00157120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A7C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расходы в размере </w:t>
      </w:r>
      <w:r w:rsidR="001571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469,14 </w:t>
      </w:r>
      <w:r w:rsidR="00A53A7C"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рублей).</w:t>
      </w:r>
    </w:p>
    <w:p w:rsidR="00A53A7C" w:rsidRP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E93C10" w:rsidRPr="00E93C10" w:rsidRDefault="00E93C10" w:rsidP="00E93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нарушение требований к муниципальным программам оценка эффективности муниципальных программ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E93C10" w:rsidRPr="00E93C10" w:rsidRDefault="00E93C10" w:rsidP="00E93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Оценка социально-экономической эффективности реализации программы «Дети </w:t>
      </w:r>
      <w:proofErr w:type="spellStart"/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E93C10" w:rsidRDefault="00E93C10" w:rsidP="00E93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Реализация задач муниципальных программ и уточнение затрат перечня программных мероприятий дает возможность разработать перечень целевых индикаторов и показателей для мониторинга реализации программных мероприятий, а также осуществить отбор на конкурсной основе исполнителей работ и услуг по каждому программному мероприятию.</w:t>
      </w:r>
    </w:p>
    <w:p w:rsidR="00C22EBC" w:rsidRPr="00E93C10" w:rsidRDefault="00C22EBC" w:rsidP="00E93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Установлены недочеты в части оформления пояснительной записки к отчету об исполнении:</w:t>
      </w:r>
    </w:p>
    <w:p w:rsidR="00C22EBC" w:rsidRDefault="00C22EBC" w:rsidP="00961136">
      <w:pPr>
        <w:numPr>
          <w:ilvl w:val="0"/>
          <w:numId w:val="3"/>
        </w:numPr>
        <w:spacing w:after="0" w:line="300" w:lineRule="atLeast"/>
        <w:ind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Неотражение</w:t>
      </w:r>
      <w:proofErr w:type="spellEnd"/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</w:t>
      </w:r>
      <w:r w:rsidR="00F26D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инвентаризации, о сведениях в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формах отчетности, не имеющих показателей и не подлежащих представлению. </w:t>
      </w:r>
    </w:p>
    <w:p w:rsidR="00C22EBC" w:rsidRPr="00C22EBC" w:rsidRDefault="00C22EBC" w:rsidP="00961136">
      <w:pPr>
        <w:numPr>
          <w:ilvl w:val="0"/>
          <w:numId w:val="3"/>
        </w:numPr>
        <w:spacing w:after="0" w:line="300" w:lineRule="atLeast"/>
        <w:ind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раскрытия</w:t>
      </w:r>
      <w:r w:rsid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информации требующей пояснения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22EBC" w:rsidRDefault="00AF6FF0" w:rsidP="00961136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о</w:t>
      </w:r>
      <w:r w:rsidR="00E61E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тсутствие и н</w:t>
      </w:r>
      <w:r w:rsidR="00C22EBC"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есоответствие текста пояснительной записки данным, отраженным в таблицах, включенных в нее (в частности, </w:t>
      </w:r>
      <w:r w:rsidR="00E61E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отсутствие </w:t>
      </w:r>
      <w:r w:rsidR="00C22EBC"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сведений, указанных в текстовой части самой пояснительной записки </w:t>
      </w:r>
      <w:r w:rsidR="00E61E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сведений </w:t>
      </w:r>
      <w:r w:rsidR="00C22EBC"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 05037</w:t>
      </w:r>
      <w:r w:rsidR="00E61E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69, 0503169</w:t>
      </w:r>
      <w:r w:rsidR="00C22EBC"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F26D91" w:rsidRPr="00C22EBC" w:rsidRDefault="00F26D91" w:rsidP="00961136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61E0F" w:rsidRPr="00AF6FF0" w:rsidRDefault="00AF6FF0" w:rsidP="009611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C22EBC"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выявлены </w:t>
      </w:r>
      <w:r w:rsidR="00F26D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грубейшие нарушения в оформлении</w:t>
      </w:r>
      <w:r w:rsidR="00C22EBC"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отчета</w:t>
      </w:r>
      <w:r w:rsidR="00F26D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исполнении бюджета </w:t>
      </w:r>
      <w:proofErr w:type="spellStart"/>
      <w:r w:rsidR="00F26D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спс</w:t>
      </w:r>
      <w:proofErr w:type="spellEnd"/>
      <w:r w:rsidR="00F26D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F26D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Хайыраканский</w:t>
      </w:r>
      <w:proofErr w:type="spellEnd"/>
      <w:r w:rsidR="00E61E0F"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так</w:t>
      </w:r>
      <w:r w:rsidR="00F26D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F6FF0" w:rsidRPr="00AF6FF0" w:rsidRDefault="00AF6FF0" w:rsidP="009611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отсутствие оглавления папки отчета об исполнении бюджета;</w:t>
      </w:r>
    </w:p>
    <w:p w:rsidR="00AF6FF0" w:rsidRPr="00AF6FF0" w:rsidRDefault="00AF6FF0" w:rsidP="009611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страницы отчетов не пронумерованы и не скреплены печатью;</w:t>
      </w:r>
    </w:p>
    <w:p w:rsidR="00AF6FF0" w:rsidRDefault="00AF6FF0" w:rsidP="009611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</w:t>
      </w:r>
      <w:r w:rsidR="004D7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тсутствие подписей председателя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администрации</w:t>
      </w:r>
      <w:r w:rsidR="004D7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F2537" w:rsidRPr="002F2537" w:rsidRDefault="002F2537" w:rsidP="009611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некорректное формирование показателей форм отчетности;</w:t>
      </w:r>
    </w:p>
    <w:p w:rsidR="002F2537" w:rsidRPr="002F2537" w:rsidRDefault="002F2537" w:rsidP="009611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неполное формирование показателей форм отчетности;</w:t>
      </w:r>
    </w:p>
    <w:p w:rsidR="002F2537" w:rsidRPr="002F2537" w:rsidRDefault="002F2537" w:rsidP="009611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недостатки формирования текстовой части пояснительных записок;</w:t>
      </w:r>
    </w:p>
    <w:p w:rsidR="002F2537" w:rsidRPr="00AF6FF0" w:rsidRDefault="002F2537" w:rsidP="009611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ошибки, связанные с технологией формирования и представления форм отчетности.</w:t>
      </w:r>
    </w:p>
    <w:p w:rsidR="00AF6FF0" w:rsidRPr="00AF6FF0" w:rsidRDefault="00AF6FF0" w:rsidP="009611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F6FF0" w:rsidRDefault="00A53A7C" w:rsidP="00AF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</w:t>
      </w:r>
      <w:r w:rsidR="00AF6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ния:</w:t>
      </w:r>
    </w:p>
    <w:p w:rsidR="00AF6FF0" w:rsidRPr="00B47F4C" w:rsidRDefault="00AF6FF0" w:rsidP="00AF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предлагает Вам:</w:t>
      </w:r>
    </w:p>
    <w:p w:rsidR="00AF6FF0" w:rsidRPr="00B47F4C" w:rsidRDefault="00AF6FF0" w:rsidP="00AF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и принять меры по устранению выявленных нарушений и недостатков;</w:t>
      </w:r>
    </w:p>
    <w:p w:rsidR="00AF6FF0" w:rsidRPr="00F26D91" w:rsidRDefault="00AF6FF0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к ответственности должностных лиц, виновных в допущенных нарушениях, а также принять меры по пересечению, устранению и предупреждению нарушений.</w:t>
      </w:r>
    </w:p>
    <w:p w:rsidR="00607FA0" w:rsidRDefault="00607FA0" w:rsidP="0060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мерах просим сообщить письменно в Контрольно-счетный орган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Тыва в течение месяца.</w:t>
      </w:r>
    </w:p>
    <w:p w:rsidR="00AF6FF0" w:rsidRDefault="00AF6FF0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FA0" w:rsidRDefault="00AF6FF0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0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проведенного контрольного мероприятия:</w:t>
      </w:r>
    </w:p>
    <w:p w:rsidR="00A53A7C" w:rsidRPr="00A53A7C" w:rsidRDefault="00607FA0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</w:t>
      </w:r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аправить информационное письмо в Хурал представителей сельского поселения </w:t>
      </w:r>
      <w:proofErr w:type="spellStart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Хайыраканский</w:t>
      </w:r>
      <w:proofErr w:type="spellEnd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3A7C" w:rsidRDefault="00607FA0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нформацию по проверке направить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председателю </w:t>
      </w:r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</w:t>
      </w:r>
      <w:proofErr w:type="spellStart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A53A7C"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в установленные сроки.</w:t>
      </w:r>
    </w:p>
    <w:p w:rsidR="00AF6FF0" w:rsidRPr="00A53A7C" w:rsidRDefault="00AF6FF0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A7C" w:rsidRDefault="00A53A7C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732" w:rsidRDefault="00811732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732" w:rsidRPr="00A53A7C" w:rsidRDefault="00811732" w:rsidP="00A5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</w:t>
      </w: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А.С. </w:t>
      </w:r>
      <w:proofErr w:type="spellStart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91" w:rsidRDefault="00F26D91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91" w:rsidRDefault="00F26D91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91" w:rsidRDefault="00F26D91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91" w:rsidRPr="00A53A7C" w:rsidRDefault="00F26D91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Исп.: инспектор </w:t>
      </w: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3A7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Кок-</w:t>
      </w:r>
      <w:proofErr w:type="spellStart"/>
      <w:r w:rsidRPr="00A53A7C">
        <w:rPr>
          <w:rFonts w:ascii="Times New Roman" w:eastAsia="Times New Roman" w:hAnsi="Times New Roman" w:cs="Times New Roman"/>
          <w:sz w:val="16"/>
          <w:szCs w:val="16"/>
          <w:lang w:eastAsia="ru-RU"/>
        </w:rPr>
        <w:t>оол</w:t>
      </w:r>
      <w:proofErr w:type="spellEnd"/>
      <w:r w:rsidRPr="00A5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Б.Д.</w:t>
      </w:r>
    </w:p>
    <w:p w:rsidR="00A53A7C" w:rsidRPr="00A53A7C" w:rsidRDefault="00A53A7C" w:rsidP="00A53A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3A7C">
        <w:rPr>
          <w:rFonts w:ascii="Times New Roman" w:eastAsia="Times New Roman" w:hAnsi="Times New Roman" w:cs="Times New Roman"/>
          <w:sz w:val="16"/>
          <w:szCs w:val="16"/>
          <w:lang w:eastAsia="ru-RU"/>
        </w:rPr>
        <w:t>8 (39434) 21-460</w:t>
      </w:r>
    </w:p>
    <w:p w:rsidR="00286DEF" w:rsidRDefault="00286DEF"/>
    <w:sectPr w:rsidR="00286DEF" w:rsidSect="007E49B7">
      <w:foot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4A" w:rsidRDefault="00455E4A">
      <w:pPr>
        <w:spacing w:after="0" w:line="240" w:lineRule="auto"/>
      </w:pPr>
      <w:r>
        <w:separator/>
      </w:r>
    </w:p>
  </w:endnote>
  <w:endnote w:type="continuationSeparator" w:id="0">
    <w:p w:rsidR="00455E4A" w:rsidRDefault="0045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226"/>
      <w:docPartObj>
        <w:docPartGallery w:val="Page Numbers (Bottom of Page)"/>
        <w:docPartUnique/>
      </w:docPartObj>
    </w:sdtPr>
    <w:sdtEndPr/>
    <w:sdtContent>
      <w:p w:rsidR="00455E4A" w:rsidRDefault="00455E4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3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5E4A" w:rsidRDefault="00455E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4A" w:rsidRDefault="00455E4A">
      <w:pPr>
        <w:spacing w:after="0" w:line="240" w:lineRule="auto"/>
      </w:pPr>
      <w:r>
        <w:separator/>
      </w:r>
    </w:p>
  </w:footnote>
  <w:footnote w:type="continuationSeparator" w:id="0">
    <w:p w:rsidR="00455E4A" w:rsidRDefault="00455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18D5175"/>
    <w:multiLevelType w:val="multilevel"/>
    <w:tmpl w:val="6AC2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124011"/>
    <w:multiLevelType w:val="multilevel"/>
    <w:tmpl w:val="FFC858C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7C"/>
    <w:rsid w:val="000049E5"/>
    <w:rsid w:val="0001741D"/>
    <w:rsid w:val="000433A2"/>
    <w:rsid w:val="000525E2"/>
    <w:rsid w:val="000810CF"/>
    <w:rsid w:val="000D5514"/>
    <w:rsid w:val="001313C6"/>
    <w:rsid w:val="00157120"/>
    <w:rsid w:val="00170733"/>
    <w:rsid w:val="00186A41"/>
    <w:rsid w:val="002136F1"/>
    <w:rsid w:val="0025183C"/>
    <w:rsid w:val="00251FD3"/>
    <w:rsid w:val="00263CAB"/>
    <w:rsid w:val="00265DAB"/>
    <w:rsid w:val="00281A79"/>
    <w:rsid w:val="00286DEF"/>
    <w:rsid w:val="002C155B"/>
    <w:rsid w:val="002C38C1"/>
    <w:rsid w:val="002E76BD"/>
    <w:rsid w:val="002F2537"/>
    <w:rsid w:val="002F4C01"/>
    <w:rsid w:val="00302B46"/>
    <w:rsid w:val="00307B58"/>
    <w:rsid w:val="003163B7"/>
    <w:rsid w:val="003248A0"/>
    <w:rsid w:val="00353A49"/>
    <w:rsid w:val="00377196"/>
    <w:rsid w:val="003B5A27"/>
    <w:rsid w:val="003C291D"/>
    <w:rsid w:val="00455E4A"/>
    <w:rsid w:val="00471CA4"/>
    <w:rsid w:val="004D7859"/>
    <w:rsid w:val="004D7AEC"/>
    <w:rsid w:val="00555F8C"/>
    <w:rsid w:val="00572DED"/>
    <w:rsid w:val="005C6F3B"/>
    <w:rsid w:val="005D23BF"/>
    <w:rsid w:val="005E5C7E"/>
    <w:rsid w:val="005F5B29"/>
    <w:rsid w:val="00607FA0"/>
    <w:rsid w:val="00616F7D"/>
    <w:rsid w:val="006903B2"/>
    <w:rsid w:val="006B1D11"/>
    <w:rsid w:val="006C2CB0"/>
    <w:rsid w:val="006C4A5F"/>
    <w:rsid w:val="006E15CC"/>
    <w:rsid w:val="00722EB4"/>
    <w:rsid w:val="00740EBA"/>
    <w:rsid w:val="00763C2A"/>
    <w:rsid w:val="007851C1"/>
    <w:rsid w:val="007E49B7"/>
    <w:rsid w:val="007F6FED"/>
    <w:rsid w:val="008113A2"/>
    <w:rsid w:val="00811732"/>
    <w:rsid w:val="00834DA8"/>
    <w:rsid w:val="008726F4"/>
    <w:rsid w:val="008849C1"/>
    <w:rsid w:val="0089288D"/>
    <w:rsid w:val="008C2280"/>
    <w:rsid w:val="008D3030"/>
    <w:rsid w:val="008E0927"/>
    <w:rsid w:val="00961136"/>
    <w:rsid w:val="009D2BC6"/>
    <w:rsid w:val="00A13339"/>
    <w:rsid w:val="00A42267"/>
    <w:rsid w:val="00A45862"/>
    <w:rsid w:val="00A53A7C"/>
    <w:rsid w:val="00AF6FF0"/>
    <w:rsid w:val="00B32E1F"/>
    <w:rsid w:val="00BD3374"/>
    <w:rsid w:val="00BD5B86"/>
    <w:rsid w:val="00BF4BD0"/>
    <w:rsid w:val="00C120DC"/>
    <w:rsid w:val="00C22EBC"/>
    <w:rsid w:val="00C25A42"/>
    <w:rsid w:val="00C33CD1"/>
    <w:rsid w:val="00C52D5E"/>
    <w:rsid w:val="00CB4F99"/>
    <w:rsid w:val="00CE3C16"/>
    <w:rsid w:val="00CF783F"/>
    <w:rsid w:val="00D00761"/>
    <w:rsid w:val="00D408B8"/>
    <w:rsid w:val="00D43FEA"/>
    <w:rsid w:val="00D97FA1"/>
    <w:rsid w:val="00E61E0F"/>
    <w:rsid w:val="00E93C10"/>
    <w:rsid w:val="00EA78FD"/>
    <w:rsid w:val="00EF6291"/>
    <w:rsid w:val="00F160AE"/>
    <w:rsid w:val="00F26D91"/>
    <w:rsid w:val="00F36EA3"/>
    <w:rsid w:val="00F578F1"/>
    <w:rsid w:val="00FC04C8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53A7C"/>
  </w:style>
  <w:style w:type="paragraph" w:styleId="a5">
    <w:name w:val="Balloon Text"/>
    <w:basedOn w:val="a"/>
    <w:link w:val="a6"/>
    <w:uiPriority w:val="99"/>
    <w:semiHidden/>
    <w:unhideWhenUsed/>
    <w:rsid w:val="0032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53A7C"/>
  </w:style>
  <w:style w:type="paragraph" w:styleId="a5">
    <w:name w:val="Balloon Text"/>
    <w:basedOn w:val="a"/>
    <w:link w:val="a6"/>
    <w:uiPriority w:val="99"/>
    <w:semiHidden/>
    <w:unhideWhenUsed/>
    <w:rsid w:val="0032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B77E-6AB7-4196-ADDB-B29C351A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66</cp:revision>
  <cp:lastPrinted>2023-06-19T04:34:00Z</cp:lastPrinted>
  <dcterms:created xsi:type="dcterms:W3CDTF">2023-05-04T04:07:00Z</dcterms:created>
  <dcterms:modified xsi:type="dcterms:W3CDTF">2023-06-19T07:12:00Z</dcterms:modified>
</cp:coreProperties>
</file>